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AD" w:rsidRPr="007577C2" w:rsidRDefault="00C45FAD" w:rsidP="007577C2">
      <w:pPr>
        <w:pStyle w:val="a9"/>
        <w:jc w:val="center"/>
        <w:rPr>
          <w:rFonts w:ascii="Times New Roman" w:hAnsi="Times New Roman" w:cs="Times New Roman"/>
        </w:rPr>
      </w:pPr>
      <w:r w:rsidRPr="007577C2">
        <w:rPr>
          <w:rFonts w:ascii="Times New Roman" w:hAnsi="Times New Roman" w:cs="Times New Roman"/>
        </w:rPr>
        <w:t>Гепатит</w:t>
      </w:r>
      <w:proofErr w:type="gramStart"/>
      <w:r w:rsidRPr="007577C2">
        <w:rPr>
          <w:rFonts w:ascii="Times New Roman" w:hAnsi="Times New Roman" w:cs="Times New Roman"/>
        </w:rPr>
        <w:t xml:space="preserve"> </w:t>
      </w:r>
      <w:r w:rsidR="00414C5A" w:rsidRPr="007577C2">
        <w:rPr>
          <w:rFonts w:ascii="Times New Roman" w:hAnsi="Times New Roman" w:cs="Times New Roman"/>
        </w:rPr>
        <w:t>С</w:t>
      </w:r>
      <w:proofErr w:type="gramEnd"/>
    </w:p>
    <w:p w:rsidR="00C45FAD" w:rsidRPr="007577C2" w:rsidRDefault="00C931DA" w:rsidP="007577C2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432435</wp:posOffset>
            </wp:positionV>
            <wp:extent cx="3299460" cy="2726055"/>
            <wp:effectExtent l="19050" t="0" r="0" b="0"/>
            <wp:wrapTight wrapText="bothSides">
              <wp:wrapPolygon edited="0">
                <wp:start x="-125" y="0"/>
                <wp:lineTo x="-125" y="21434"/>
                <wp:lineTo x="21575" y="21434"/>
                <wp:lineTo x="21575" y="0"/>
                <wp:lineTo x="-125" y="0"/>
              </wp:wrapPolygon>
            </wp:wrapTight>
            <wp:docPr id="3" name="Рисунок 2" descr="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png"/>
                    <pic:cNvPicPr/>
                  </pic:nvPicPr>
                  <pic:blipFill>
                    <a:blip r:embed="rId5"/>
                    <a:srcRect l="11733" t="6007" r="20619" b="9862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7260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5FAD" w:rsidRPr="007577C2">
        <w:rPr>
          <w:rFonts w:ascii="Times New Roman" w:hAnsi="Times New Roman" w:cs="Times New Roman"/>
          <w:i/>
          <w:sz w:val="36"/>
        </w:rPr>
        <w:t>Основные факты</w:t>
      </w:r>
      <w:r>
        <w:rPr>
          <w:rFonts w:ascii="Times New Roman" w:hAnsi="Times New Roman" w:cs="Times New Roman"/>
          <w:i/>
          <w:sz w:val="36"/>
        </w:rPr>
        <w:t xml:space="preserve">  </w:t>
      </w:r>
    </w:p>
    <w:p w:rsidR="00414C5A" w:rsidRPr="007577C2" w:rsidRDefault="007577C2" w:rsidP="00414C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C4245"/>
          <w:sz w:val="21"/>
        </w:rPr>
        <w:t>Г</w:t>
      </w:r>
      <w:r w:rsidR="00414C5A"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епатит</w:t>
      </w:r>
      <w:proofErr w:type="gramStart"/>
      <w:r w:rsidR="00414C5A"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С</w:t>
      </w:r>
      <w:proofErr w:type="gramEnd"/>
      <w:r w:rsidR="00414C5A"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— это воспалительное поражение печени, вызываемое вирусом гепатита С.</w:t>
      </w:r>
    </w:p>
    <w:p w:rsidR="00414C5A" w:rsidRPr="007577C2" w:rsidRDefault="00414C5A" w:rsidP="00414C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Вирус может вызывать как острый, так и хронический гепатит, который может протекать в легкой форме или приводить к тяжелому пожизненному заболеванию, включая цирроз печени и рак.</w:t>
      </w:r>
    </w:p>
    <w:p w:rsidR="00414C5A" w:rsidRPr="007577C2" w:rsidRDefault="00414C5A" w:rsidP="00414C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Вирус гепатита</w:t>
      </w:r>
      <w:proofErr w:type="gramStart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С</w:t>
      </w:r>
      <w:proofErr w:type="gramEnd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— это </w:t>
      </w:r>
      <w:proofErr w:type="spellStart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гемотрансмиссивный</w:t>
      </w:r>
      <w:proofErr w:type="spellEnd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вирус, заражение которым чаще всего происходит при контакте с кровью при небезопасной инъекционной практике, небезопасной медицинской практике, переливании не прошедшей скрининг крови, употреблении инъекционных наркотиков, а также при половых сношениях, сопровождающихся контактом с кровью. </w:t>
      </w:r>
    </w:p>
    <w:p w:rsidR="00414C5A" w:rsidRPr="007577C2" w:rsidRDefault="00414C5A" w:rsidP="00414C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Во всем мире хроническим гепатитом</w:t>
      </w:r>
      <w:proofErr w:type="gramStart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 С</w:t>
      </w:r>
      <w:proofErr w:type="gramEnd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страдают примерно 58 миллионов человек, при этом ежегодно происходит около 1,5 миллиона новых случаев инфицирования. По имеющимся оценкам, хроническим гепатитом C страдают 3,2 миллиона детей и подростков.</w:t>
      </w:r>
    </w:p>
    <w:p w:rsidR="00414C5A" w:rsidRPr="007577C2" w:rsidRDefault="00414C5A" w:rsidP="00414C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По оценкам ВОЗ, в 2019 г. от гепатита</w:t>
      </w:r>
      <w:proofErr w:type="gramStart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С</w:t>
      </w:r>
      <w:proofErr w:type="gramEnd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умерли приблизительно 290 000 человек, главным образом в результате цирроза печени и гепатоцеллюлярной карциномы (первичного рака печени).</w:t>
      </w:r>
    </w:p>
    <w:p w:rsidR="00414C5A" w:rsidRPr="007577C2" w:rsidRDefault="00414C5A" w:rsidP="00414C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Противовирусные препараты позволяют полностью излечивать гепатит</w:t>
      </w:r>
      <w:proofErr w:type="gramStart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 С</w:t>
      </w:r>
      <w:proofErr w:type="gramEnd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более чем в 95% случаев, однако уровень доступа к диагностике и лечению остается низким.</w:t>
      </w:r>
    </w:p>
    <w:p w:rsidR="00414C5A" w:rsidRPr="007577C2" w:rsidRDefault="00414C5A" w:rsidP="00414C5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В настоящее время эффективной вакцины против гепатита</w:t>
      </w:r>
      <w:proofErr w:type="gramStart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> С</w:t>
      </w:r>
      <w:proofErr w:type="gramEnd"/>
      <w:r w:rsidRPr="007577C2">
        <w:rPr>
          <w:rFonts w:ascii="Times New Roman" w:eastAsia="Times New Roman" w:hAnsi="Times New Roman" w:cs="Times New Roman"/>
          <w:b/>
          <w:bCs/>
          <w:color w:val="3C4245"/>
          <w:sz w:val="21"/>
        </w:rPr>
        <w:t xml:space="preserve"> не существует.</w:t>
      </w:r>
    </w:p>
    <w:p w:rsidR="00C45FAD" w:rsidRDefault="00B046F9" w:rsidP="00C45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noshade="t" o:hr="t" fillcolor="#3c4245" stroked="f"/>
        </w:pic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b/>
          <w:color w:val="3C4245"/>
          <w:sz w:val="21"/>
          <w:szCs w:val="21"/>
        </w:rPr>
        <w:t>Вирус гепатита</w:t>
      </w:r>
      <w:proofErr w:type="gramStart"/>
      <w:r w:rsidRPr="007577C2">
        <w:rPr>
          <w:b/>
          <w:color w:val="3C4245"/>
          <w:sz w:val="21"/>
          <w:szCs w:val="21"/>
        </w:rPr>
        <w:t xml:space="preserve"> С</w:t>
      </w:r>
      <w:proofErr w:type="gramEnd"/>
      <w:r w:rsidRPr="007577C2">
        <w:rPr>
          <w:color w:val="3C4245"/>
          <w:sz w:val="21"/>
          <w:szCs w:val="21"/>
        </w:rPr>
        <w:t xml:space="preserve"> (ВГС) может вызывать как острую, так и хроническую инфекцию. Острые инфекции ВГС обычно протекают бессимптомно и в большинстве случаев не приводят к опасному для жизни заболеванию. Примерно у 30% (15–45%) инфицированных в течение шести месяцев после заражения достигается спонтанное излечение.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У остальных 70% (55–85%) развивается хроническая инфекция ВГС. При хронической инфекции ВГС риск развития цирроза печени в течение следующих 20 лет составляет от 15% до 30%.</w:t>
      </w:r>
    </w:p>
    <w:p w:rsidR="00414C5A" w:rsidRPr="007577C2" w:rsidRDefault="00414C5A" w:rsidP="007577C2">
      <w:pPr>
        <w:pStyle w:val="2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Географическое распределение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ВГС распространен во всех регионах ВОЗ. Самые высокие показатели заболеваемости наблюдаются в Регионе Восточного Средиземноморья и Европейском регионе, в каждом из которых у 12 миллионов человек имеется хроническая инфекция. В регионах Юго-Восточной Азии и Западной части Тихого океана хронически инфицированы примерно по 10 миллионов человек, а в Африканском регионе и Регионе стран Америки — 9 и 5 миллионов человек, соответственно.</w:t>
      </w:r>
    </w:p>
    <w:p w:rsidR="00414C5A" w:rsidRPr="007577C2" w:rsidRDefault="00414C5A" w:rsidP="007577C2">
      <w:pPr>
        <w:pStyle w:val="3"/>
        <w:rPr>
          <w:rFonts w:ascii="Times New Roman" w:hAnsi="Times New Roman" w:cs="Times New Roman"/>
          <w:sz w:val="28"/>
        </w:rPr>
      </w:pPr>
      <w:r w:rsidRPr="007577C2">
        <w:rPr>
          <w:rFonts w:ascii="Times New Roman" w:hAnsi="Times New Roman" w:cs="Times New Roman"/>
          <w:sz w:val="28"/>
        </w:rPr>
        <w:lastRenderedPageBreak/>
        <w:t>Передача инфекции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Вирус гепатита</w:t>
      </w:r>
      <w:proofErr w:type="gramStart"/>
      <w:r w:rsidRPr="007577C2">
        <w:rPr>
          <w:color w:val="3C4245"/>
          <w:sz w:val="21"/>
          <w:szCs w:val="21"/>
        </w:rPr>
        <w:t xml:space="preserve"> С</w:t>
      </w:r>
      <w:proofErr w:type="gramEnd"/>
      <w:r w:rsidRPr="007577C2">
        <w:rPr>
          <w:color w:val="3C4245"/>
          <w:sz w:val="21"/>
          <w:szCs w:val="21"/>
        </w:rPr>
        <w:t xml:space="preserve"> относится к </w:t>
      </w:r>
      <w:proofErr w:type="spellStart"/>
      <w:r w:rsidRPr="007577C2">
        <w:rPr>
          <w:color w:val="3C4245"/>
          <w:sz w:val="21"/>
          <w:szCs w:val="21"/>
        </w:rPr>
        <w:t>гемотрансмиссивным</w:t>
      </w:r>
      <w:proofErr w:type="spellEnd"/>
      <w:r w:rsidRPr="007577C2">
        <w:rPr>
          <w:color w:val="3C4245"/>
          <w:sz w:val="21"/>
          <w:szCs w:val="21"/>
        </w:rPr>
        <w:t xml:space="preserve"> вирусам. Наиболее распространенными путями передачи являются:</w:t>
      </w:r>
    </w:p>
    <w:p w:rsidR="00414C5A" w:rsidRPr="007577C2" w:rsidRDefault="00414C5A" w:rsidP="00414C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повторное использование или недостаточная стерилизация медицинского оборудования, в частности шприцев и игл, в учреждениях здравоохранения;</w:t>
      </w:r>
    </w:p>
    <w:p w:rsidR="00414C5A" w:rsidRPr="007577C2" w:rsidRDefault="00414C5A" w:rsidP="00414C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переливание не прошедших скрининг крови и продуктов крови; и</w:t>
      </w:r>
    </w:p>
    <w:p w:rsidR="00414C5A" w:rsidRPr="007577C2" w:rsidRDefault="00414C5A" w:rsidP="00414C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совместное использование инъекционного инструмента при употреблении инъекционных наркотиков.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ВГС также может передаваться от инфицированной матери ребенку, а также при половых сношениях, сопровождающихся контактом с кровью (например, у лиц с множеством половых партнеров или мужчин, вступающих в половые связи с мужчинами). Однако эти механизмы передачи инфекции являются менее распространенными.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Гепатит</w:t>
      </w:r>
      <w:proofErr w:type="gramStart"/>
      <w:r w:rsidRPr="007577C2">
        <w:rPr>
          <w:color w:val="3C4245"/>
          <w:sz w:val="21"/>
          <w:szCs w:val="21"/>
        </w:rPr>
        <w:t xml:space="preserve"> С</w:t>
      </w:r>
      <w:proofErr w:type="gramEnd"/>
      <w:r w:rsidRPr="007577C2">
        <w:rPr>
          <w:color w:val="3C4245"/>
          <w:sz w:val="21"/>
          <w:szCs w:val="21"/>
        </w:rPr>
        <w:t xml:space="preserve"> не передается через грудное молоко, пищевые продукты, воду или при бытовых контактах, например объятиях, поцелуях или совместном приеме пищи и напитков с инфицированным лицом.</w:t>
      </w:r>
    </w:p>
    <w:p w:rsidR="007D0548" w:rsidRDefault="007D0548" w:rsidP="00414C5A">
      <w:pPr>
        <w:pStyle w:val="a3"/>
        <w:spacing w:before="0" w:beforeAutospacing="0" w:after="0" w:afterAutospacing="0" w:line="320" w:lineRule="atLeast"/>
        <w:rPr>
          <w:rFonts w:ascii="Arial" w:hAnsi="Arial" w:cs="Arial"/>
          <w:color w:val="3C4245"/>
          <w:sz w:val="21"/>
          <w:szCs w:val="21"/>
        </w:rPr>
      </w:pPr>
      <w:r>
        <w:rPr>
          <w:rFonts w:ascii="Arial" w:hAnsi="Arial" w:cs="Arial"/>
          <w:noProof/>
          <w:color w:val="3C4245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147320</wp:posOffset>
            </wp:positionV>
            <wp:extent cx="5917565" cy="3919855"/>
            <wp:effectExtent l="19050" t="0" r="6985" b="0"/>
            <wp:wrapTight wrapText="bothSides">
              <wp:wrapPolygon edited="0">
                <wp:start x="-70" y="0"/>
                <wp:lineTo x="-70" y="21520"/>
                <wp:lineTo x="21625" y="21520"/>
                <wp:lineTo x="21625" y="0"/>
                <wp:lineTo x="-70" y="0"/>
              </wp:wrapPolygon>
            </wp:wrapTight>
            <wp:docPr id="2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4C5A" w:rsidRPr="007577C2" w:rsidRDefault="00414C5A" w:rsidP="007577C2">
      <w:pPr>
        <w:pStyle w:val="3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Симптомы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Продолжительность инкубационного периода гепатита</w:t>
      </w:r>
      <w:proofErr w:type="gramStart"/>
      <w:r w:rsidRPr="007577C2">
        <w:rPr>
          <w:color w:val="3C4245"/>
          <w:sz w:val="21"/>
          <w:szCs w:val="21"/>
        </w:rPr>
        <w:t> С</w:t>
      </w:r>
      <w:proofErr w:type="gramEnd"/>
      <w:r w:rsidRPr="007577C2">
        <w:rPr>
          <w:color w:val="3C4245"/>
          <w:sz w:val="21"/>
          <w:szCs w:val="21"/>
        </w:rPr>
        <w:t xml:space="preserve"> составляет от двух недель до шести месяцев. Приблизительно в 80% случаев первичная инфекция протекает бессимптомно. У больных с острым течением болезни к числу симптомов относятся высокая температура, утомляемость, потеря аппетита, тошнота, рвота, боли в области брюшной полости, потемнение мочи, светлый кал, боли в суставах и желтуха (желтушное окрашивание кожных покровов и склер глаз).</w:t>
      </w:r>
    </w:p>
    <w:p w:rsidR="00414C5A" w:rsidRPr="007577C2" w:rsidRDefault="00414C5A" w:rsidP="007577C2">
      <w:pPr>
        <w:pStyle w:val="3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Тестирование и диагностика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 xml:space="preserve">Ввиду того, что первичная инфекция ВГС чаще всего протекает бессимптомно, в первое время после заражения у большинства </w:t>
      </w:r>
      <w:proofErr w:type="gramStart"/>
      <w:r w:rsidRPr="007577C2">
        <w:rPr>
          <w:color w:val="3C4245"/>
          <w:sz w:val="21"/>
          <w:szCs w:val="21"/>
        </w:rPr>
        <w:t>инфицированных</w:t>
      </w:r>
      <w:proofErr w:type="gramEnd"/>
      <w:r w:rsidRPr="007577C2">
        <w:rPr>
          <w:color w:val="3C4245"/>
          <w:sz w:val="21"/>
          <w:szCs w:val="21"/>
        </w:rPr>
        <w:t xml:space="preserve"> она не диагностируется. У пациентов с хронической </w:t>
      </w:r>
      <w:r w:rsidRPr="007577C2">
        <w:rPr>
          <w:color w:val="3C4245"/>
          <w:sz w:val="21"/>
          <w:szCs w:val="21"/>
        </w:rPr>
        <w:lastRenderedPageBreak/>
        <w:t>инфекцией ВГС она также часто не диагностируется, поскольку болезнь протекает бессимптомно в течение десятилетий вплоть до развития вторичных симптомов, связанных с серьезным поражением печени.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Диагностика инфицирования ВГС проводится в два этапа:</w:t>
      </w:r>
    </w:p>
    <w:p w:rsidR="00414C5A" w:rsidRPr="007577C2" w:rsidRDefault="00414C5A" w:rsidP="00414C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Для выявления лиц с вирусной инфекцией выполняется серологическое исследование на антитела к ВГС; </w:t>
      </w:r>
    </w:p>
    <w:p w:rsidR="00414C5A" w:rsidRPr="007577C2" w:rsidRDefault="00414C5A" w:rsidP="00414C5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 xml:space="preserve">При положительном результате теста на антитела к ВГС для подтверждения хронической инфекции и необходимости лечения требуется выполнение тестирование на наличие в крови пациента рибонуклеиновой кислоты (РНК) ВГС. Этот тест имеет важное значение, поскольку примерно у 30% </w:t>
      </w:r>
      <w:proofErr w:type="gramStart"/>
      <w:r w:rsidRPr="007577C2">
        <w:rPr>
          <w:rFonts w:ascii="Times New Roman" w:hAnsi="Times New Roman" w:cs="Times New Roman"/>
          <w:color w:val="3C4245"/>
          <w:sz w:val="21"/>
          <w:szCs w:val="21"/>
        </w:rPr>
        <w:t>инфицированных</w:t>
      </w:r>
      <w:proofErr w:type="gramEnd"/>
      <w:r w:rsidRPr="007577C2">
        <w:rPr>
          <w:rFonts w:ascii="Times New Roman" w:hAnsi="Times New Roman" w:cs="Times New Roman"/>
          <w:color w:val="3C4245"/>
          <w:sz w:val="21"/>
          <w:szCs w:val="21"/>
        </w:rPr>
        <w:t xml:space="preserve"> ВГС инфекция спонтанно излечивается за счет сильного ответа иммунной системы и не требует лечения. У таких пациентов даже при отсутствии инфекции результат исследования на антитела к ВГС будет положительным. Тест на наличие РНК ВГС может быть выполнен в лаборатории или с помощью простого аппарата в клинике.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 xml:space="preserve">В случае диагностирования хронической инфекции ВГС пациента необходимо обследовать для определения степени поражения печени (фиброз и цирроз печени). Это можно сделать с помощью биопсии печени или различных </w:t>
      </w:r>
      <w:proofErr w:type="spellStart"/>
      <w:r w:rsidRPr="007577C2">
        <w:rPr>
          <w:color w:val="3C4245"/>
          <w:sz w:val="21"/>
          <w:szCs w:val="21"/>
        </w:rPr>
        <w:t>неинвазивных</w:t>
      </w:r>
      <w:proofErr w:type="spellEnd"/>
      <w:r w:rsidRPr="007577C2">
        <w:rPr>
          <w:color w:val="3C4245"/>
          <w:sz w:val="21"/>
          <w:szCs w:val="21"/>
        </w:rPr>
        <w:t xml:space="preserve"> тестов. На основе данных о степени поражения печени принимается решение относительно методов лечения и ведения пациента.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Ранняя диагностика позволяет предотвратить развитие осложнений, связанных с инфекцией, и дальнейшую передачу вируса. ВОЗ рекомендует проводить тестирование лиц в группах повышенного риска инфицирования.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 xml:space="preserve">При высоких уровнях </w:t>
      </w:r>
      <w:proofErr w:type="spellStart"/>
      <w:r w:rsidRPr="007577C2">
        <w:rPr>
          <w:color w:val="3C4245"/>
          <w:sz w:val="21"/>
          <w:szCs w:val="21"/>
        </w:rPr>
        <w:t>серопревалентности</w:t>
      </w:r>
      <w:proofErr w:type="spellEnd"/>
      <w:r w:rsidRPr="007577C2">
        <w:rPr>
          <w:color w:val="3C4245"/>
          <w:sz w:val="21"/>
          <w:szCs w:val="21"/>
        </w:rPr>
        <w:t xml:space="preserve"> антител к ВГС среди населения (определяемых как </w:t>
      </w:r>
      <w:proofErr w:type="spellStart"/>
      <w:r w:rsidRPr="007577C2">
        <w:rPr>
          <w:color w:val="3C4245"/>
          <w:sz w:val="21"/>
          <w:szCs w:val="21"/>
        </w:rPr>
        <w:t>серопревалентность</w:t>
      </w:r>
      <w:proofErr w:type="spellEnd"/>
      <w:r w:rsidRPr="007577C2">
        <w:rPr>
          <w:color w:val="3C4245"/>
          <w:sz w:val="21"/>
          <w:szCs w:val="21"/>
        </w:rPr>
        <w:t xml:space="preserve"> антител к ВГС &gt;2% или &gt;5%), ВОЗ рекомендует, чтобы все взрослые имели доступ к тестированию на ВГС и имели возможность его проведения в сочетании с получением услуг по профилактике и лечению.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Во всем мире около 2,3 миллиона человек (6,2%) из примерно 37,7 миллиона людей, живущих с ВИЧ, имеют серологические признаки текущей или перенесенной инфекции ВГС. Во всем мире хронические заболевания печени являются одной из основных причин заболеваемости и смертности среди людей, живущих с ВИЧ.</w:t>
      </w:r>
    </w:p>
    <w:p w:rsidR="00414C5A" w:rsidRPr="007577C2" w:rsidRDefault="00414C5A" w:rsidP="007577C2">
      <w:pPr>
        <w:pStyle w:val="3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Предоставление услуг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До недавнего времени тестирование и лечение гепатита</w:t>
      </w:r>
      <w:proofErr w:type="gramStart"/>
      <w:r w:rsidRPr="007577C2">
        <w:rPr>
          <w:color w:val="3C4245"/>
          <w:sz w:val="21"/>
          <w:szCs w:val="21"/>
        </w:rPr>
        <w:t> С</w:t>
      </w:r>
      <w:proofErr w:type="gramEnd"/>
      <w:r w:rsidRPr="007577C2">
        <w:rPr>
          <w:color w:val="3C4245"/>
          <w:sz w:val="21"/>
          <w:szCs w:val="21"/>
        </w:rPr>
        <w:t xml:space="preserve"> во многих странах основывались на моделях оказания специализированной помощи (обычно под руководством </w:t>
      </w:r>
      <w:proofErr w:type="spellStart"/>
      <w:r w:rsidRPr="007577C2">
        <w:rPr>
          <w:color w:val="3C4245"/>
          <w:sz w:val="21"/>
          <w:szCs w:val="21"/>
        </w:rPr>
        <w:t>гепатолога</w:t>
      </w:r>
      <w:proofErr w:type="spellEnd"/>
      <w:r w:rsidRPr="007577C2">
        <w:rPr>
          <w:color w:val="3C4245"/>
          <w:sz w:val="21"/>
          <w:szCs w:val="21"/>
        </w:rPr>
        <w:t xml:space="preserve"> или гастроэнтеролога) в стационарных условиях для проведения комплексной терапии. Использование схем краткосрочного </w:t>
      </w:r>
      <w:proofErr w:type="spellStart"/>
      <w:r w:rsidRPr="007577C2">
        <w:rPr>
          <w:color w:val="3C4245"/>
          <w:sz w:val="21"/>
          <w:szCs w:val="21"/>
        </w:rPr>
        <w:t>перорального</w:t>
      </w:r>
      <w:proofErr w:type="spellEnd"/>
      <w:r w:rsidRPr="007577C2">
        <w:rPr>
          <w:color w:val="3C4245"/>
          <w:sz w:val="21"/>
          <w:szCs w:val="21"/>
        </w:rPr>
        <w:t xml:space="preserve"> лечения ВГС с помощью </w:t>
      </w:r>
      <w:proofErr w:type="spellStart"/>
      <w:r w:rsidRPr="007577C2">
        <w:rPr>
          <w:color w:val="3C4245"/>
          <w:sz w:val="21"/>
          <w:szCs w:val="21"/>
        </w:rPr>
        <w:t>пангенотипных</w:t>
      </w:r>
      <w:proofErr w:type="spellEnd"/>
      <w:r w:rsidRPr="007577C2">
        <w:rPr>
          <w:color w:val="3C4245"/>
          <w:sz w:val="21"/>
          <w:szCs w:val="21"/>
        </w:rPr>
        <w:t xml:space="preserve"> ПППД при небольших побочных эффектах или их отсутствии в настоящее время требует минимальных знаний, опыта и мониторинга. ВОЗ рекомендует, чтобы тестирование, оказание помощи и лечение лиц с хроническим гепатитом</w:t>
      </w:r>
      <w:proofErr w:type="gramStart"/>
      <w:r w:rsidRPr="007577C2">
        <w:rPr>
          <w:color w:val="3C4245"/>
          <w:sz w:val="21"/>
          <w:szCs w:val="21"/>
        </w:rPr>
        <w:t> С</w:t>
      </w:r>
      <w:proofErr w:type="gramEnd"/>
      <w:r w:rsidRPr="007577C2">
        <w:rPr>
          <w:color w:val="3C4245"/>
          <w:sz w:val="21"/>
          <w:szCs w:val="21"/>
        </w:rPr>
        <w:t xml:space="preserve"> обеспечивались квалифицированными врачами и медсестрами, не являющимися специалистами в этой области.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В настоящее время тестирование, оказание помощи и лечение могут также осуществляться на безопасной основе в рамках учреждений первичной медико-санитарной помощи, служб снижения вреда и в условиях тюрем, что обеспечивает большую доступность и удобство для пациентов.</w:t>
      </w:r>
      <w:r w:rsidRPr="007577C2">
        <w:rPr>
          <w:rStyle w:val="a5"/>
          <w:color w:val="3C4245"/>
          <w:sz w:val="21"/>
          <w:szCs w:val="21"/>
        </w:rPr>
        <w:t> </w:t>
      </w:r>
    </w:p>
    <w:p w:rsidR="00414C5A" w:rsidRPr="007577C2" w:rsidRDefault="00414C5A" w:rsidP="007577C2">
      <w:pPr>
        <w:pStyle w:val="3"/>
        <w:rPr>
          <w:rFonts w:ascii="Times New Roman" w:hAnsi="Times New Roman" w:cs="Times New Roman"/>
          <w:sz w:val="28"/>
          <w:szCs w:val="28"/>
        </w:rPr>
      </w:pPr>
      <w:r w:rsidRPr="007577C2"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t>В настоящее время эффективной вакцины против гепатита</w:t>
      </w:r>
      <w:proofErr w:type="gramStart"/>
      <w:r w:rsidRPr="007577C2">
        <w:rPr>
          <w:color w:val="3C4245"/>
          <w:sz w:val="21"/>
          <w:szCs w:val="21"/>
        </w:rPr>
        <w:t> С</w:t>
      </w:r>
      <w:proofErr w:type="gramEnd"/>
      <w:r w:rsidRPr="007577C2">
        <w:rPr>
          <w:color w:val="3C4245"/>
          <w:sz w:val="21"/>
          <w:szCs w:val="21"/>
        </w:rPr>
        <w:t xml:space="preserve"> не существует; поэтому профилактика инфекции заключается в снижении риска заражения в медицинских учреждениях, а также группах повышенного риска. К ним относятся потребители инъекционных наркотиков и мужчины, вступающие в половые контакты с мужчинами, особенно инфицированные ВИЧ или применяющие </w:t>
      </w:r>
      <w:proofErr w:type="spellStart"/>
      <w:r w:rsidRPr="007577C2">
        <w:rPr>
          <w:color w:val="3C4245"/>
          <w:sz w:val="21"/>
          <w:szCs w:val="21"/>
        </w:rPr>
        <w:t>предэкспозиционную</w:t>
      </w:r>
      <w:proofErr w:type="spellEnd"/>
      <w:r w:rsidRPr="007577C2">
        <w:rPr>
          <w:color w:val="3C4245"/>
          <w:sz w:val="21"/>
          <w:szCs w:val="21"/>
        </w:rPr>
        <w:t xml:space="preserve"> профилактику ВИЧ.</w:t>
      </w:r>
    </w:p>
    <w:p w:rsidR="00414C5A" w:rsidRPr="007577C2" w:rsidRDefault="00414C5A" w:rsidP="00414C5A">
      <w:pPr>
        <w:pStyle w:val="a3"/>
        <w:spacing w:before="0" w:beforeAutospacing="0" w:after="0" w:afterAutospacing="0" w:line="320" w:lineRule="atLeast"/>
        <w:rPr>
          <w:color w:val="3C4245"/>
          <w:sz w:val="21"/>
          <w:szCs w:val="21"/>
        </w:rPr>
      </w:pPr>
      <w:r w:rsidRPr="007577C2">
        <w:rPr>
          <w:color w:val="3C4245"/>
          <w:sz w:val="21"/>
          <w:szCs w:val="21"/>
        </w:rPr>
        <w:lastRenderedPageBreak/>
        <w:t>Ниже приводятся некоторые из рекомендованных ВОЗ мер первичной профилактики:</w:t>
      </w:r>
    </w:p>
    <w:p w:rsidR="00414C5A" w:rsidRPr="007577C2" w:rsidRDefault="00414C5A" w:rsidP="00414C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безопасное и правильное выполнение инъекций при оказании медицинской помощи;</w:t>
      </w:r>
    </w:p>
    <w:p w:rsidR="00414C5A" w:rsidRPr="007577C2" w:rsidRDefault="00414C5A" w:rsidP="00414C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соблюдение техники безопасности при обращении с колюще-режущими инструментами и отходами и их утилизации;</w:t>
      </w:r>
    </w:p>
    <w:p w:rsidR="00414C5A" w:rsidRPr="007577C2" w:rsidRDefault="00414C5A" w:rsidP="00414C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оказание комплексных услуг по снижению вреда, связанного с употреблением инъекционных наркотиков;</w:t>
      </w:r>
    </w:p>
    <w:p w:rsidR="00414C5A" w:rsidRPr="007577C2" w:rsidRDefault="00414C5A" w:rsidP="00414C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тестирование донорской крови на ВГВ и ВГС (а также на ВИЧ и сифилис);</w:t>
      </w:r>
    </w:p>
    <w:p w:rsidR="00414C5A" w:rsidRPr="007577C2" w:rsidRDefault="00414C5A" w:rsidP="00414C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обучение медицинского персонала; и</w:t>
      </w:r>
    </w:p>
    <w:p w:rsidR="00414C5A" w:rsidRPr="007577C2" w:rsidRDefault="00414C5A" w:rsidP="00414C5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C4245"/>
          <w:sz w:val="21"/>
          <w:szCs w:val="21"/>
        </w:rPr>
      </w:pPr>
      <w:r w:rsidRPr="007577C2">
        <w:rPr>
          <w:rFonts w:ascii="Times New Roman" w:hAnsi="Times New Roman" w:cs="Times New Roman"/>
          <w:color w:val="3C4245"/>
          <w:sz w:val="21"/>
          <w:szCs w:val="21"/>
        </w:rPr>
        <w:t>профилактика контактов с кровью во время половых сношений.</w:t>
      </w:r>
    </w:p>
    <w:p w:rsidR="0022078E" w:rsidRPr="005426CB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Cs w:val="28"/>
        </w:rPr>
      </w:pPr>
      <w:r>
        <w:rPr>
          <w:rStyle w:val="a4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4"/>
          <w:rFonts w:ascii="Times New Roman" w:hAnsi="Times New Roman" w:cs="Times New Roman"/>
          <w:szCs w:val="28"/>
        </w:rPr>
        <w:t xml:space="preserve"> помощник врача- гигиениста Кореличского районного ЦГЭ Воронцова Екатерина Михайловна </w:t>
      </w:r>
    </w:p>
    <w:p w:rsidR="0022078E" w:rsidRPr="005426CB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Cs w:val="28"/>
        </w:rPr>
      </w:pPr>
      <w:r>
        <w:rPr>
          <w:rStyle w:val="a4"/>
          <w:rFonts w:ascii="Times New Roman" w:hAnsi="Times New Roman" w:cs="Times New Roman"/>
          <w:szCs w:val="28"/>
        </w:rPr>
        <w:t xml:space="preserve">Обновлено </w:t>
      </w:r>
      <w:r w:rsidR="00C45FAD">
        <w:rPr>
          <w:rStyle w:val="a4"/>
          <w:rFonts w:ascii="Times New Roman" w:hAnsi="Times New Roman" w:cs="Times New Roman"/>
          <w:szCs w:val="28"/>
        </w:rPr>
        <w:t>28.07</w:t>
      </w:r>
      <w:r w:rsidRPr="005426CB">
        <w:rPr>
          <w:rStyle w:val="a4"/>
          <w:rFonts w:ascii="Times New Roman" w:hAnsi="Times New Roman" w:cs="Times New Roman"/>
          <w:szCs w:val="28"/>
        </w:rPr>
        <w:t>.2022</w:t>
      </w:r>
    </w:p>
    <w:p w:rsidR="006A6CE4" w:rsidRDefault="006A6CE4"/>
    <w:sectPr w:rsidR="006A6CE4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E00"/>
    <w:multiLevelType w:val="multilevel"/>
    <w:tmpl w:val="844E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AE533C"/>
    <w:multiLevelType w:val="multilevel"/>
    <w:tmpl w:val="C98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97FF7"/>
    <w:multiLevelType w:val="multilevel"/>
    <w:tmpl w:val="FEA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16653B"/>
    <w:multiLevelType w:val="multilevel"/>
    <w:tmpl w:val="B118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22744E"/>
    <w:multiLevelType w:val="multilevel"/>
    <w:tmpl w:val="49A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308F9"/>
    <w:multiLevelType w:val="multilevel"/>
    <w:tmpl w:val="D5F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606759"/>
    <w:multiLevelType w:val="multilevel"/>
    <w:tmpl w:val="2552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43FAA"/>
    <w:multiLevelType w:val="multilevel"/>
    <w:tmpl w:val="4E0E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016619"/>
    <w:multiLevelType w:val="multilevel"/>
    <w:tmpl w:val="461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0C4DF1"/>
    <w:multiLevelType w:val="multilevel"/>
    <w:tmpl w:val="B892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9E31B2"/>
    <w:multiLevelType w:val="multilevel"/>
    <w:tmpl w:val="63E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10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8E"/>
    <w:rsid w:val="0022078E"/>
    <w:rsid w:val="002F5726"/>
    <w:rsid w:val="00414C5A"/>
    <w:rsid w:val="004C03B9"/>
    <w:rsid w:val="006261EC"/>
    <w:rsid w:val="006A6CE4"/>
    <w:rsid w:val="007577C2"/>
    <w:rsid w:val="007D0548"/>
    <w:rsid w:val="0094768C"/>
    <w:rsid w:val="009E4DAB"/>
    <w:rsid w:val="00B046F9"/>
    <w:rsid w:val="00B90B18"/>
    <w:rsid w:val="00C45FAD"/>
    <w:rsid w:val="00C931DA"/>
    <w:rsid w:val="00F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7577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577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2022-06-24T06:22:00Z</dcterms:created>
  <dcterms:modified xsi:type="dcterms:W3CDTF">2022-07-08T06:27:00Z</dcterms:modified>
</cp:coreProperties>
</file>