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D" w:rsidRPr="001D0D7E" w:rsidRDefault="00C45FAD" w:rsidP="001D0D7E">
      <w:pPr>
        <w:pStyle w:val="a9"/>
        <w:jc w:val="center"/>
        <w:rPr>
          <w:rFonts w:ascii="Times New Roman" w:hAnsi="Times New Roman" w:cs="Times New Roman"/>
          <w:color w:val="3C4245"/>
          <w:sz w:val="47"/>
          <w:szCs w:val="47"/>
        </w:rPr>
      </w:pPr>
      <w:r w:rsidRPr="001D0D7E">
        <w:rPr>
          <w:rFonts w:ascii="Times New Roman" w:hAnsi="Times New Roman" w:cs="Times New Roman"/>
        </w:rPr>
        <w:t xml:space="preserve">Гепатит </w:t>
      </w:r>
      <w:r w:rsidR="001D0D7E" w:rsidRPr="001D0D7E">
        <w:t>D</w:t>
      </w:r>
    </w:p>
    <w:p w:rsidR="00C45FAD" w:rsidRPr="001D0D7E" w:rsidRDefault="001C5F22" w:rsidP="007577C2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475615</wp:posOffset>
            </wp:positionV>
            <wp:extent cx="2431415" cy="1625600"/>
            <wp:effectExtent l="19050" t="0" r="6985" b="0"/>
            <wp:wrapTight wrapText="bothSides">
              <wp:wrapPolygon edited="0">
                <wp:start x="-169" y="0"/>
                <wp:lineTo x="-169" y="21263"/>
                <wp:lineTo x="21662" y="21263"/>
                <wp:lineTo x="21662" y="0"/>
                <wp:lineTo x="-169" y="0"/>
              </wp:wrapPolygon>
            </wp:wrapTight>
            <wp:docPr id="3" name="Рисунок 2" descr="б дл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 для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FAD" w:rsidRPr="001D0D7E">
        <w:rPr>
          <w:rFonts w:ascii="Times New Roman" w:hAnsi="Times New Roman" w:cs="Times New Roman"/>
          <w:i/>
          <w:sz w:val="36"/>
        </w:rPr>
        <w:t>Основные факты</w:t>
      </w:r>
      <w:r>
        <w:rPr>
          <w:rFonts w:ascii="Times New Roman" w:hAnsi="Times New Roman" w:cs="Times New Roman"/>
          <w:i/>
          <w:sz w:val="36"/>
        </w:rPr>
        <w:t xml:space="preserve"> 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Вирус гепатита D – это вирус, для репликации которого требуется присутствие вируса гепатита B. Инфицирование вирусом гепатита D происходит либо одновременно с заражением вирусом гепатита B (</w:t>
      </w:r>
      <w:proofErr w:type="spell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коинфекция</w:t>
      </w:r>
      <w:proofErr w:type="spell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), либо после заражения вирусом гепатита</w:t>
      </w:r>
      <w:proofErr w:type="gram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</w:t>
      </w:r>
      <w:proofErr w:type="gram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(суперинфекция).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Во всем мире вирусом гепатита D заражено почти 5% всех людей с хроническим гепатитом</w:t>
      </w:r>
      <w:proofErr w:type="gram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</w:t>
      </w:r>
      <w:proofErr w:type="gram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; вирус гепатита D передается через кровь или другие биологические жидкости инфицированных.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Существует несколько очагов высокой распространенности гепатита D, в том числе в Монголии, Республике Молдова и ряде стран Западной и Центральной Африки.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К группам высокого риска </w:t>
      </w:r>
      <w:proofErr w:type="spell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коинфекции</w:t>
      </w:r>
      <w:proofErr w:type="spell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вирусами гепатита</w:t>
      </w:r>
      <w:proofErr w:type="gram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</w:t>
      </w:r>
      <w:proofErr w:type="gram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и D относятся представители коренных народов, пациенты на гемодиализе и лица, употребляющие инъекционные наркотики.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С 1980-х годов в мире наблюдается снижение общего числа случаев гепатита D. Эта тенденция связана, главным образом, с успехами глобальной программы вакцинации против гепатита В.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proofErr w:type="spell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Коинфекция</w:t>
      </w:r>
      <w:proofErr w:type="spell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вирусами гепатита D и гепатита B считается наиболее тяжелой формой хронического вирусного гепатита ввиду более стремительного развития печеночной недостаточности, приводящей к летальному исходу, или </w:t>
      </w:r>
      <w:proofErr w:type="spellStart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гепатоклеточной</w:t>
      </w:r>
      <w:proofErr w:type="spellEnd"/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карциномы.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На сегодняшний день показатели успешности лечения этой формы инфекции, как правило, низкие.</w:t>
      </w:r>
    </w:p>
    <w:p w:rsidR="001D0D7E" w:rsidRPr="001D0D7E" w:rsidRDefault="001D0D7E" w:rsidP="001D0D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1D0D7E">
        <w:rPr>
          <w:rFonts w:ascii="Times New Roman" w:eastAsia="Times New Roman" w:hAnsi="Times New Roman" w:cs="Times New Roman"/>
          <w:b/>
          <w:bCs/>
          <w:color w:val="3C4245"/>
          <w:sz w:val="21"/>
        </w:rPr>
        <w:t>Заражение гепатитом D можно предотвратить посредством иммунизации против гепатита В.</w:t>
      </w:r>
    </w:p>
    <w:p w:rsidR="00C45FAD" w:rsidRPr="001D0D7E" w:rsidRDefault="004B16AC" w:rsidP="00C45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7E">
        <w:rPr>
          <w:rFonts w:ascii="Times New Roman" w:hAnsi="Times New Roman" w:cs="Times New Roman"/>
        </w:rPr>
        <w:pict>
          <v:rect id="_x0000_i1025" style="width:0;height:1.5pt" o:hralign="center" o:hrstd="t" o:hrnoshade="t" o:hr="t" fillcolor="#3c4245" stroked="f"/>
        </w:pic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Гепатит D — это воспалительное поражение печени, вызванное вирусом гепатита D, которому для репликации необходимо присутствие вируса гепатита B. Без наличия у пациента гепатита</w:t>
      </w:r>
      <w:proofErr w:type="gramStart"/>
      <w:r w:rsidRPr="001D0D7E">
        <w:rPr>
          <w:color w:val="3C4245"/>
          <w:sz w:val="21"/>
          <w:szCs w:val="21"/>
        </w:rPr>
        <w:t xml:space="preserve"> В</w:t>
      </w:r>
      <w:proofErr w:type="gramEnd"/>
      <w:r w:rsidRPr="001D0D7E">
        <w:rPr>
          <w:color w:val="3C4245"/>
          <w:sz w:val="21"/>
          <w:szCs w:val="21"/>
        </w:rPr>
        <w:t xml:space="preserve"> заражение гепатитом D невозможно. </w:t>
      </w:r>
      <w:proofErr w:type="spellStart"/>
      <w:r w:rsidRPr="001D0D7E">
        <w:rPr>
          <w:color w:val="3C4245"/>
          <w:sz w:val="21"/>
          <w:szCs w:val="21"/>
        </w:rPr>
        <w:t>Коинфекция</w:t>
      </w:r>
      <w:proofErr w:type="spellEnd"/>
      <w:r w:rsidRPr="001D0D7E">
        <w:rPr>
          <w:color w:val="3C4245"/>
          <w:sz w:val="21"/>
          <w:szCs w:val="21"/>
        </w:rPr>
        <w:t xml:space="preserve"> вирусами гепатита D и B считается самой тяжелой формой хронического вирусного гепатита ввиду более стремительного развития печеночной недостаточности, приводящей к летальному исходу, или </w:t>
      </w:r>
      <w:proofErr w:type="spellStart"/>
      <w:r w:rsidRPr="001D0D7E">
        <w:rPr>
          <w:color w:val="3C4245"/>
          <w:sz w:val="21"/>
          <w:szCs w:val="21"/>
        </w:rPr>
        <w:t>гепатоклеточной</w:t>
      </w:r>
      <w:proofErr w:type="spellEnd"/>
      <w:r w:rsidRPr="001D0D7E">
        <w:rPr>
          <w:color w:val="3C4245"/>
          <w:sz w:val="21"/>
          <w:szCs w:val="21"/>
        </w:rPr>
        <w:t xml:space="preserve"> карциномы.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Единственным способом профилактики гепатита D является вакцинация против гепатита B.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Территориальное распределение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Согласно оценкам, представленным в исследовании, которое было выполнено в сотрудничестве с ВОЗ и опубликовано в 2020 г. в Журнале гепатологии</w:t>
      </w:r>
      <w:r w:rsidRPr="001D0D7E">
        <w:rPr>
          <w:color w:val="3C4245"/>
          <w:sz w:val="21"/>
          <w:szCs w:val="21"/>
          <w:vertAlign w:val="superscript"/>
        </w:rPr>
        <w:t>1</w:t>
      </w:r>
      <w:r w:rsidRPr="001D0D7E">
        <w:rPr>
          <w:color w:val="3C4245"/>
          <w:sz w:val="21"/>
          <w:szCs w:val="21"/>
        </w:rPr>
        <w:t>, вирусом гепатита D заражено во всем мире почти 5% людей, страдающих хроническим гепатитом</w:t>
      </w:r>
      <w:proofErr w:type="gramStart"/>
      <w:r w:rsidRPr="001D0D7E">
        <w:rPr>
          <w:color w:val="3C4245"/>
          <w:sz w:val="21"/>
          <w:szCs w:val="21"/>
        </w:rPr>
        <w:t xml:space="preserve"> В</w:t>
      </w:r>
      <w:proofErr w:type="gramEnd"/>
      <w:r w:rsidRPr="001D0D7E">
        <w:rPr>
          <w:color w:val="3C4245"/>
          <w:sz w:val="21"/>
          <w:szCs w:val="21"/>
        </w:rPr>
        <w:t xml:space="preserve">, и примерно каждый пятый случай болезни печени и рака печени у инфицированных гепатитом В связан с </w:t>
      </w:r>
      <w:proofErr w:type="spellStart"/>
      <w:r w:rsidRPr="001D0D7E">
        <w:rPr>
          <w:color w:val="3C4245"/>
          <w:sz w:val="21"/>
          <w:szCs w:val="21"/>
        </w:rPr>
        <w:t>коинфекией</w:t>
      </w:r>
      <w:proofErr w:type="spellEnd"/>
      <w:r w:rsidRPr="001D0D7E">
        <w:rPr>
          <w:color w:val="3C4245"/>
          <w:sz w:val="21"/>
          <w:szCs w:val="21"/>
        </w:rPr>
        <w:t xml:space="preserve"> гепатитом D. В исследовании было установлено несколько географических районов высокой распространенности гепатита D, в том числе Монголия, Республика Молдова и ряд стран Западной и Центральной Африки.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t>Механизмы передачи инфекции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 xml:space="preserve">По механизму передачи вирус гепатит D аналогичен вирусу гепатита B и передается в результате </w:t>
      </w:r>
      <w:proofErr w:type="spellStart"/>
      <w:r w:rsidRPr="001D0D7E">
        <w:rPr>
          <w:color w:val="3C4245"/>
          <w:sz w:val="21"/>
          <w:szCs w:val="21"/>
        </w:rPr>
        <w:t>чрескожного</w:t>
      </w:r>
      <w:proofErr w:type="spellEnd"/>
      <w:r w:rsidRPr="001D0D7E">
        <w:rPr>
          <w:color w:val="3C4245"/>
          <w:sz w:val="21"/>
          <w:szCs w:val="21"/>
        </w:rPr>
        <w:t xml:space="preserve"> контакта с инфицированной кровью или продуктами крови. Вертикальная передача инфекции также возможна, хотя и остается редким явлением. Вакцинация против гепатита B </w:t>
      </w:r>
      <w:r w:rsidRPr="001D0D7E">
        <w:rPr>
          <w:color w:val="3C4245"/>
          <w:sz w:val="21"/>
          <w:szCs w:val="21"/>
        </w:rPr>
        <w:lastRenderedPageBreak/>
        <w:t xml:space="preserve">способствует профилактике </w:t>
      </w:r>
      <w:proofErr w:type="spellStart"/>
      <w:r w:rsidRPr="001D0D7E">
        <w:rPr>
          <w:color w:val="3C4245"/>
          <w:sz w:val="21"/>
          <w:szCs w:val="21"/>
        </w:rPr>
        <w:t>коинфекции</w:t>
      </w:r>
      <w:proofErr w:type="spellEnd"/>
      <w:r w:rsidRPr="001D0D7E">
        <w:rPr>
          <w:color w:val="3C4245"/>
          <w:sz w:val="21"/>
          <w:szCs w:val="21"/>
        </w:rPr>
        <w:t xml:space="preserve"> гепатитом D, в </w:t>
      </w:r>
      <w:proofErr w:type="gramStart"/>
      <w:r w:rsidRPr="001D0D7E">
        <w:rPr>
          <w:color w:val="3C4245"/>
          <w:sz w:val="21"/>
          <w:szCs w:val="21"/>
        </w:rPr>
        <w:t>связи</w:t>
      </w:r>
      <w:proofErr w:type="gramEnd"/>
      <w:r w:rsidRPr="001D0D7E">
        <w:rPr>
          <w:color w:val="3C4245"/>
          <w:sz w:val="21"/>
          <w:szCs w:val="21"/>
        </w:rPr>
        <w:t xml:space="preserve"> с чем расширение охвата детей прививками против гепатита B привело к снижению заболеваемости гепатитом D в мире.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t>Симптомы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 xml:space="preserve">Острый гепатит: одновременное инфицирование вирусами гепатита B и D может приводить к умеренным или тяжелым формам гепатита и в некоторых случаях к </w:t>
      </w:r>
      <w:proofErr w:type="spellStart"/>
      <w:r w:rsidRPr="001D0D7E">
        <w:rPr>
          <w:color w:val="3C4245"/>
          <w:sz w:val="21"/>
          <w:szCs w:val="21"/>
        </w:rPr>
        <w:t>фульминантному</w:t>
      </w:r>
      <w:proofErr w:type="spellEnd"/>
      <w:r w:rsidRPr="001D0D7E">
        <w:rPr>
          <w:color w:val="3C4245"/>
          <w:sz w:val="21"/>
          <w:szCs w:val="21"/>
        </w:rPr>
        <w:t xml:space="preserve"> гепатиту, однако, как правило, за этим следует полное выздоровление, и хроническая форма гепатита D развивается редко (менее чем в 5% случаев острого гепатита).</w:t>
      </w:r>
    </w:p>
    <w:p w:rsidR="001D0D7E" w:rsidRPr="001D0D7E" w:rsidRDefault="001C5F22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>
        <w:rPr>
          <w:noProof/>
          <w:color w:val="3C4245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-962660</wp:posOffset>
            </wp:positionV>
            <wp:extent cx="5133340" cy="5321300"/>
            <wp:effectExtent l="19050" t="0" r="0" b="0"/>
            <wp:wrapTight wrapText="bothSides">
              <wp:wrapPolygon edited="0">
                <wp:start x="-80" y="0"/>
                <wp:lineTo x="-80" y="21497"/>
                <wp:lineTo x="21563" y="21497"/>
                <wp:lineTo x="21563" y="0"/>
                <wp:lineTo x="-80" y="0"/>
              </wp:wrapPolygon>
            </wp:wrapTight>
            <wp:docPr id="4" name="Рисунок 3" descr="144c94d57dc72aea885f54b24ee65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c94d57dc72aea885f54b24ee65d6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7E" w:rsidRPr="001D0D7E">
        <w:rPr>
          <w:color w:val="3C4245"/>
          <w:sz w:val="21"/>
          <w:szCs w:val="21"/>
        </w:rPr>
        <w:t xml:space="preserve">Суперинфекция: вирусом гепатита D может заразиться человек, уже имеющий хронический гепатит B. Суперинфекция гепатитом D на фоне хронического гепатита B приводит к ускоренному развитию более тяжелых форм болезни у 70-90% пациентов независимо от возраста. У пациентов с суперинфекцией гепатитом D цирроз печени развивается почти на 10 лет быстрее, чем у пациентов, инфицированных только гепатитом В. Пациенты с циррозом, обусловленным вирусом гепатита D, подвержены повышенному риску развития </w:t>
      </w:r>
      <w:proofErr w:type="spellStart"/>
      <w:r w:rsidR="001D0D7E" w:rsidRPr="001D0D7E">
        <w:rPr>
          <w:color w:val="3C4245"/>
          <w:sz w:val="21"/>
          <w:szCs w:val="21"/>
        </w:rPr>
        <w:t>гепатоклеточной</w:t>
      </w:r>
      <w:proofErr w:type="spellEnd"/>
      <w:r w:rsidR="001D0D7E" w:rsidRPr="001D0D7E">
        <w:rPr>
          <w:color w:val="3C4245"/>
          <w:sz w:val="21"/>
          <w:szCs w:val="21"/>
        </w:rPr>
        <w:t xml:space="preserve"> карциномы. Причина, по которой вирус гепатита D вызывает более тяжелую форму заболевания и ускоренное развитие фиброза по сравнению с </w:t>
      </w:r>
      <w:proofErr w:type="spellStart"/>
      <w:r w:rsidR="001D0D7E" w:rsidRPr="001D0D7E">
        <w:rPr>
          <w:color w:val="3C4245"/>
          <w:sz w:val="21"/>
          <w:szCs w:val="21"/>
        </w:rPr>
        <w:t>моноинфекцией</w:t>
      </w:r>
      <w:proofErr w:type="spellEnd"/>
      <w:r w:rsidR="001D0D7E" w:rsidRPr="001D0D7E">
        <w:rPr>
          <w:color w:val="3C4245"/>
          <w:sz w:val="21"/>
          <w:szCs w:val="21"/>
        </w:rPr>
        <w:t xml:space="preserve"> гепатитом</w:t>
      </w:r>
      <w:proofErr w:type="gramStart"/>
      <w:r w:rsidR="001D0D7E" w:rsidRPr="001D0D7E">
        <w:rPr>
          <w:color w:val="3C4245"/>
          <w:sz w:val="21"/>
          <w:szCs w:val="21"/>
        </w:rPr>
        <w:t xml:space="preserve"> В</w:t>
      </w:r>
      <w:proofErr w:type="gramEnd"/>
      <w:r w:rsidR="001D0D7E" w:rsidRPr="001D0D7E">
        <w:rPr>
          <w:color w:val="3C4245"/>
          <w:sz w:val="21"/>
          <w:szCs w:val="21"/>
        </w:rPr>
        <w:t>, остается неизвестной.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Кто находится в группе риска?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Риску заражения гепатитом D подвержены носители хронического гепатита В.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Лица, не имеющие иммунитета к гепатиту</w:t>
      </w:r>
      <w:proofErr w:type="gramStart"/>
      <w:r w:rsidRPr="001D0D7E">
        <w:rPr>
          <w:color w:val="3C4245"/>
          <w:sz w:val="21"/>
          <w:szCs w:val="21"/>
        </w:rPr>
        <w:t xml:space="preserve"> В</w:t>
      </w:r>
      <w:proofErr w:type="gramEnd"/>
      <w:r w:rsidRPr="001D0D7E">
        <w:rPr>
          <w:color w:val="3C4245"/>
          <w:sz w:val="21"/>
          <w:szCs w:val="21"/>
        </w:rPr>
        <w:t xml:space="preserve"> (т.е. не перенесшие заболевание или не вакцинированные от гепатита В) подвержены риску заражения гепатитом В, что в свою очередь является фактором риска заражения гепатитом D.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 xml:space="preserve">К группам наиболее высокого риска </w:t>
      </w:r>
      <w:proofErr w:type="spellStart"/>
      <w:r w:rsidRPr="001D0D7E">
        <w:rPr>
          <w:color w:val="3C4245"/>
          <w:sz w:val="21"/>
          <w:szCs w:val="21"/>
        </w:rPr>
        <w:t>коинфекции</w:t>
      </w:r>
      <w:proofErr w:type="spellEnd"/>
      <w:r w:rsidRPr="001D0D7E">
        <w:rPr>
          <w:color w:val="3C4245"/>
          <w:sz w:val="21"/>
          <w:szCs w:val="21"/>
        </w:rPr>
        <w:t xml:space="preserve"> вирусами гепатита</w:t>
      </w:r>
      <w:proofErr w:type="gramStart"/>
      <w:r w:rsidRPr="001D0D7E">
        <w:rPr>
          <w:color w:val="3C4245"/>
          <w:sz w:val="21"/>
          <w:szCs w:val="21"/>
        </w:rPr>
        <w:t xml:space="preserve"> В</w:t>
      </w:r>
      <w:proofErr w:type="gramEnd"/>
      <w:r w:rsidRPr="001D0D7E">
        <w:rPr>
          <w:color w:val="3C4245"/>
          <w:sz w:val="21"/>
          <w:szCs w:val="21"/>
        </w:rPr>
        <w:t xml:space="preserve"> и D относятся представители коренных народов, ВИЧ-инфицированные и лица, употребляющие инъекционные наркотики.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 xml:space="preserve">Как представляется, к группам повышенного риска </w:t>
      </w:r>
      <w:proofErr w:type="spellStart"/>
      <w:r w:rsidRPr="001D0D7E">
        <w:rPr>
          <w:color w:val="3C4245"/>
          <w:sz w:val="21"/>
          <w:szCs w:val="21"/>
        </w:rPr>
        <w:t>коинфекции</w:t>
      </w:r>
      <w:proofErr w:type="spellEnd"/>
      <w:r w:rsidRPr="001D0D7E">
        <w:rPr>
          <w:color w:val="3C4245"/>
          <w:sz w:val="21"/>
          <w:szCs w:val="21"/>
        </w:rPr>
        <w:t xml:space="preserve"> также относятся пациенты на гемодиализе, мужчины, вступающие в половые отношения с мужчинами, а также работники </w:t>
      </w:r>
      <w:proofErr w:type="spellStart"/>
      <w:proofErr w:type="gramStart"/>
      <w:r w:rsidRPr="001D0D7E">
        <w:rPr>
          <w:color w:val="3C4245"/>
          <w:sz w:val="21"/>
          <w:szCs w:val="21"/>
        </w:rPr>
        <w:t>секс-индустрии</w:t>
      </w:r>
      <w:proofErr w:type="spellEnd"/>
      <w:proofErr w:type="gramEnd"/>
      <w:r w:rsidRPr="001D0D7E">
        <w:rPr>
          <w:color w:val="3C4245"/>
          <w:sz w:val="21"/>
          <w:szCs w:val="21"/>
        </w:rPr>
        <w:t>. 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Миграция из стран с высокой распространенностью гепатита D в районы с более низкой распространенностью этой инфекции может оказывать негативное влияние на эпидемиологическую обстановку по гепатиту D в принимающей стране.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t>Скрининг и диагностика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Диагностика гепатита D осуществляется путем обнаружения высокой концентрации антител к вирусу гепатита D класса иммуноглобулинов G (</w:t>
      </w:r>
      <w:proofErr w:type="spellStart"/>
      <w:r w:rsidRPr="001D0D7E">
        <w:rPr>
          <w:color w:val="3C4245"/>
          <w:sz w:val="21"/>
          <w:szCs w:val="21"/>
        </w:rPr>
        <w:t>IgG</w:t>
      </w:r>
      <w:proofErr w:type="spellEnd"/>
      <w:r w:rsidRPr="001D0D7E">
        <w:rPr>
          <w:color w:val="3C4245"/>
          <w:sz w:val="21"/>
          <w:szCs w:val="21"/>
        </w:rPr>
        <w:t>) и иммуноглобулинов M (</w:t>
      </w:r>
      <w:proofErr w:type="spellStart"/>
      <w:r w:rsidRPr="001D0D7E">
        <w:rPr>
          <w:color w:val="3C4245"/>
          <w:sz w:val="21"/>
          <w:szCs w:val="21"/>
        </w:rPr>
        <w:t>IgM</w:t>
      </w:r>
      <w:proofErr w:type="spellEnd"/>
      <w:r w:rsidRPr="001D0D7E">
        <w:rPr>
          <w:color w:val="3C4245"/>
          <w:sz w:val="21"/>
          <w:szCs w:val="21"/>
        </w:rPr>
        <w:t>); для подтверждения диагноза проводится исследование на наличие РНК вируса гепатита D в сыворотке крови.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Тем не менее, средства диагностики гепатита D доступны слабо, и тесты на РНК вируса гепатита D, которые используются для мониторинга ответа на противовирусную терапию, не стандартизованы.</w:t>
      </w:r>
    </w:p>
    <w:p w:rsidR="001D0D7E" w:rsidRPr="001D0D7E" w:rsidRDefault="001C5F22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>
        <w:rPr>
          <w:noProof/>
          <w:color w:val="3C4245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824230</wp:posOffset>
            </wp:positionV>
            <wp:extent cx="3604260" cy="3302000"/>
            <wp:effectExtent l="19050" t="0" r="0" b="0"/>
            <wp:wrapTight wrapText="bothSides">
              <wp:wrapPolygon edited="0">
                <wp:start x="-114" y="0"/>
                <wp:lineTo x="-114" y="21434"/>
                <wp:lineTo x="21577" y="21434"/>
                <wp:lineTo x="21577" y="0"/>
                <wp:lineTo x="-114" y="0"/>
              </wp:wrapPolygon>
            </wp:wrapTight>
            <wp:docPr id="5" name="Рисунок 4" descr="8b7проф8043db390b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7проф8043db390b04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7E" w:rsidRPr="001D0D7E">
        <w:rPr>
          <w:color w:val="3C4245"/>
          <w:sz w:val="21"/>
          <w:szCs w:val="21"/>
        </w:rPr>
        <w:t xml:space="preserve">Если возможность выполнения количественного исследования на РНК вируса гепатита D отсутствует, для мониторинга ответа на терапию целесообразно проводить количественное исследование на </w:t>
      </w:r>
      <w:proofErr w:type="spellStart"/>
      <w:r w:rsidR="001D0D7E" w:rsidRPr="001D0D7E">
        <w:rPr>
          <w:color w:val="3C4245"/>
          <w:sz w:val="21"/>
          <w:szCs w:val="21"/>
        </w:rPr>
        <w:t>HBsAg</w:t>
      </w:r>
      <w:proofErr w:type="spellEnd"/>
      <w:r w:rsidR="001D0D7E" w:rsidRPr="001D0D7E">
        <w:rPr>
          <w:color w:val="3C4245"/>
          <w:sz w:val="21"/>
          <w:szCs w:val="21"/>
        </w:rPr>
        <w:t xml:space="preserve">. Снижение титра </w:t>
      </w:r>
      <w:proofErr w:type="spellStart"/>
      <w:r w:rsidR="001D0D7E" w:rsidRPr="001D0D7E">
        <w:rPr>
          <w:color w:val="3C4245"/>
          <w:sz w:val="21"/>
          <w:szCs w:val="21"/>
        </w:rPr>
        <w:t>HBsAg</w:t>
      </w:r>
      <w:proofErr w:type="spellEnd"/>
      <w:r w:rsidR="001D0D7E" w:rsidRPr="001D0D7E">
        <w:rPr>
          <w:color w:val="3C4245"/>
          <w:sz w:val="21"/>
          <w:szCs w:val="21"/>
        </w:rPr>
        <w:t xml:space="preserve"> часто свидетельствует об исчезновении этого поверхностного антигена и клиренсе вируса гепатита D, хотя исчезновение поверхностного антигена у пациентов, проходящих лечение, встречается редко.</w:t>
      </w:r>
    </w:p>
    <w:p w:rsidR="001D0D7E" w:rsidRPr="001D0D7E" w:rsidRDefault="001D0D7E" w:rsidP="001D0D7E">
      <w:pPr>
        <w:pStyle w:val="2"/>
        <w:rPr>
          <w:rFonts w:ascii="Times New Roman" w:hAnsi="Times New Roman" w:cs="Times New Roman"/>
          <w:sz w:val="28"/>
          <w:szCs w:val="28"/>
        </w:rPr>
      </w:pPr>
      <w:r w:rsidRPr="001D0D7E">
        <w:rPr>
          <w:rStyle w:val="a5"/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:rsidR="001D0D7E" w:rsidRPr="001D0D7E" w:rsidRDefault="001D0D7E" w:rsidP="001D0D7E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1D0D7E">
        <w:rPr>
          <w:color w:val="3C4245"/>
          <w:sz w:val="21"/>
          <w:szCs w:val="21"/>
        </w:rPr>
        <w:t>К контрольно-профилактическим мерам в отношении гепатита D относится профилактика заражения гепатитом</w:t>
      </w:r>
      <w:proofErr w:type="gramStart"/>
      <w:r w:rsidRPr="001D0D7E">
        <w:rPr>
          <w:color w:val="3C4245"/>
          <w:sz w:val="21"/>
          <w:szCs w:val="21"/>
        </w:rPr>
        <w:t xml:space="preserve"> В</w:t>
      </w:r>
      <w:proofErr w:type="gramEnd"/>
      <w:r w:rsidRPr="001D0D7E">
        <w:rPr>
          <w:color w:val="3C4245"/>
          <w:sz w:val="21"/>
          <w:szCs w:val="21"/>
        </w:rPr>
        <w:t xml:space="preserve"> путем вакцинации, обеспечения безопасности донорской крови, безопасности инъекций и оказания услуг по снижению вреда, связанного с потреблением инъекционных наркотиков. При этом</w:t>
      </w:r>
      <w:r w:rsidR="001C5F22">
        <w:rPr>
          <w:color w:val="3C4245"/>
          <w:sz w:val="21"/>
          <w:szCs w:val="21"/>
        </w:rPr>
        <w:t xml:space="preserve"> </w:t>
      </w:r>
      <w:r w:rsidRPr="001D0D7E">
        <w:rPr>
          <w:color w:val="3C4245"/>
          <w:sz w:val="21"/>
          <w:szCs w:val="21"/>
        </w:rPr>
        <w:t>иммунизация против гепатита B не защищает от гепатита D тех, кто уже инфицирован гепатитом В.</w:t>
      </w:r>
    </w:p>
    <w:p w:rsidR="001C5F22" w:rsidRDefault="001C5F22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Cs w:val="28"/>
        </w:rPr>
      </w:pP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4"/>
          <w:rFonts w:ascii="Times New Roman" w:hAnsi="Times New Roman" w:cs="Times New Roman"/>
          <w:szCs w:val="28"/>
        </w:rPr>
        <w:t xml:space="preserve"> помощник врача- гигиениста Кореличского районного ЦГЭ Воронцова Екатерина Михайловна 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 xml:space="preserve">Обновлено </w:t>
      </w:r>
      <w:r w:rsidR="00C45FAD">
        <w:rPr>
          <w:rStyle w:val="a4"/>
          <w:rFonts w:ascii="Times New Roman" w:hAnsi="Times New Roman" w:cs="Times New Roman"/>
          <w:szCs w:val="28"/>
        </w:rPr>
        <w:t>28.07</w:t>
      </w:r>
      <w:r w:rsidRPr="005426CB">
        <w:rPr>
          <w:rStyle w:val="a4"/>
          <w:rFonts w:ascii="Times New Roman" w:hAnsi="Times New Roman" w:cs="Times New Roman"/>
          <w:szCs w:val="28"/>
        </w:rPr>
        <w:t>.2022</w:t>
      </w:r>
    </w:p>
    <w:p w:rsidR="006A6CE4" w:rsidRDefault="006A6CE4"/>
    <w:sectPr w:rsidR="006A6CE4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00"/>
    <w:multiLevelType w:val="multilevel"/>
    <w:tmpl w:val="844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E533C"/>
    <w:multiLevelType w:val="multilevel"/>
    <w:tmpl w:val="C98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97FF7"/>
    <w:multiLevelType w:val="multilevel"/>
    <w:tmpl w:val="FEA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563313"/>
    <w:multiLevelType w:val="multilevel"/>
    <w:tmpl w:val="1AB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16653B"/>
    <w:multiLevelType w:val="multilevel"/>
    <w:tmpl w:val="B11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22744E"/>
    <w:multiLevelType w:val="multilevel"/>
    <w:tmpl w:val="49A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D7BB7"/>
    <w:multiLevelType w:val="multilevel"/>
    <w:tmpl w:val="EC72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308F9"/>
    <w:multiLevelType w:val="multilevel"/>
    <w:tmpl w:val="D5F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606759"/>
    <w:multiLevelType w:val="multilevel"/>
    <w:tmpl w:val="255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43FAA"/>
    <w:multiLevelType w:val="multilevel"/>
    <w:tmpl w:val="4E0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016619"/>
    <w:multiLevelType w:val="multilevel"/>
    <w:tmpl w:val="461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0C4DF1"/>
    <w:multiLevelType w:val="multilevel"/>
    <w:tmpl w:val="B892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E31B2"/>
    <w:multiLevelType w:val="multilevel"/>
    <w:tmpl w:val="63E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7"/>
  </w:num>
  <w:num w:numId="5">
    <w:abstractNumId w:val="1"/>
  </w:num>
  <w:num w:numId="6">
    <w:abstractNumId w:val="9"/>
  </w:num>
  <w:num w:numId="7">
    <w:abstractNumId w:val="8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5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  <w:num w:numId="17">
    <w:abstractNumId w:val="18"/>
  </w:num>
  <w:num w:numId="18">
    <w:abstractNumId w:val="0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1C5F22"/>
    <w:rsid w:val="001D0D7E"/>
    <w:rsid w:val="0022078E"/>
    <w:rsid w:val="002F5726"/>
    <w:rsid w:val="00414C5A"/>
    <w:rsid w:val="004B16AC"/>
    <w:rsid w:val="004C03B9"/>
    <w:rsid w:val="006261EC"/>
    <w:rsid w:val="006A6CE4"/>
    <w:rsid w:val="007577C2"/>
    <w:rsid w:val="007D0548"/>
    <w:rsid w:val="0094768C"/>
    <w:rsid w:val="009E4DAB"/>
    <w:rsid w:val="00B90B18"/>
    <w:rsid w:val="00C45FAD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0D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757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57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1D0D7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2022-06-24T06:22:00Z</dcterms:created>
  <dcterms:modified xsi:type="dcterms:W3CDTF">2022-07-08T06:20:00Z</dcterms:modified>
</cp:coreProperties>
</file>