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5F" w:rsidRPr="004F685F" w:rsidRDefault="004F685F" w:rsidP="004F685F">
      <w:pPr>
        <w:shd w:val="clear" w:color="auto" w:fill="FFFFFF"/>
        <w:spacing w:before="133" w:after="0" w:line="400" w:lineRule="atLeast"/>
        <w:jc w:val="center"/>
        <w:outlineLvl w:val="0"/>
        <w:rPr>
          <w:rFonts w:ascii="Segoe UI" w:eastAsia="Times New Roman" w:hAnsi="Segoe UI" w:cs="Segoe UI"/>
          <w:b/>
          <w:bCs/>
          <w:color w:val="454E72"/>
          <w:spacing w:val="-13"/>
          <w:kern w:val="36"/>
          <w:sz w:val="37"/>
          <w:szCs w:val="37"/>
        </w:rPr>
      </w:pPr>
      <w:r w:rsidRPr="004F685F">
        <w:rPr>
          <w:rFonts w:ascii="Segoe UI" w:eastAsia="Times New Roman" w:hAnsi="Segoe UI" w:cs="Segoe UI"/>
          <w:b/>
          <w:bCs/>
          <w:color w:val="454E72"/>
          <w:spacing w:val="-13"/>
          <w:kern w:val="36"/>
          <w:sz w:val="37"/>
          <w:szCs w:val="37"/>
        </w:rPr>
        <w:t>Информационный материал о заболеваемости же</w:t>
      </w:r>
      <w:r w:rsidRPr="004F685F">
        <w:rPr>
          <w:rFonts w:ascii="Segoe UI" w:eastAsia="Times New Roman" w:hAnsi="Segoe UI" w:cs="Segoe UI"/>
          <w:b/>
          <w:bCs/>
          <w:color w:val="454E72"/>
          <w:spacing w:val="-13"/>
          <w:kern w:val="36"/>
          <w:sz w:val="37"/>
          <w:szCs w:val="37"/>
        </w:rPr>
        <w:t>л</w:t>
      </w:r>
      <w:r w:rsidRPr="004F685F">
        <w:rPr>
          <w:rFonts w:ascii="Segoe UI" w:eastAsia="Times New Roman" w:hAnsi="Segoe UI" w:cs="Segoe UI"/>
          <w:b/>
          <w:bCs/>
          <w:color w:val="454E72"/>
          <w:spacing w:val="-13"/>
          <w:kern w:val="36"/>
          <w:sz w:val="37"/>
          <w:szCs w:val="37"/>
        </w:rPr>
        <w:t>той лихорадкой в мире и мерах профилактики</w:t>
      </w:r>
    </w:p>
    <w:p w:rsidR="004F685F" w:rsidRPr="004F685F" w:rsidRDefault="004F685F" w:rsidP="004F68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4F685F">
        <w:rPr>
          <w:rFonts w:ascii="Times New Roman" w:eastAsia="Times New Roman" w:hAnsi="Times New Roman" w:cs="Times New Roman"/>
          <w:sz w:val="24"/>
          <w:szCs w:val="21"/>
        </w:rPr>
        <w:t>В соответствии с положениями Международных медико-санитарных правил (2005 г.) (д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а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лее – ММСП (2005 г.)) желтая лихорадк</w:t>
      </w:r>
      <w:proofErr w:type="gramStart"/>
      <w:r w:rsidRPr="004F685F">
        <w:rPr>
          <w:rFonts w:ascii="Times New Roman" w:eastAsia="Times New Roman" w:hAnsi="Times New Roman" w:cs="Times New Roman"/>
          <w:sz w:val="24"/>
          <w:szCs w:val="21"/>
        </w:rPr>
        <w:t>а(</w:t>
      </w:r>
      <w:proofErr w:type="gramEnd"/>
      <w:r w:rsidRPr="004F685F">
        <w:rPr>
          <w:rFonts w:ascii="Times New Roman" w:eastAsia="Times New Roman" w:hAnsi="Times New Roman" w:cs="Times New Roman"/>
          <w:sz w:val="24"/>
          <w:szCs w:val="21"/>
        </w:rPr>
        <w:t>далее – ЖЛ) остается единственным заболеван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и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ем, требу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ю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щим проведения вакцинации при въезде в страны, в которых существует риск заражения этим з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а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болеванием.</w:t>
      </w:r>
    </w:p>
    <w:p w:rsidR="004F685F" w:rsidRPr="004F685F" w:rsidRDefault="004F685F" w:rsidP="004F68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4F685F">
        <w:rPr>
          <w:rFonts w:ascii="Times New Roman" w:eastAsia="Times New Roman" w:hAnsi="Times New Roman" w:cs="Times New Roman"/>
          <w:sz w:val="24"/>
          <w:szCs w:val="21"/>
        </w:rPr>
        <w:t>Природные очаги заболевания желтой лихорадкой расположены в Экваториальной Афр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и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ке и Северной и Южной Америке. </w:t>
      </w:r>
    </w:p>
    <w:p w:rsidR="004F685F" w:rsidRPr="004F685F" w:rsidRDefault="004F685F" w:rsidP="004F68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4F685F">
        <w:rPr>
          <w:rFonts w:ascii="Times New Roman" w:eastAsia="Times New Roman" w:hAnsi="Times New Roman" w:cs="Times New Roman"/>
          <w:sz w:val="24"/>
          <w:szCs w:val="21"/>
        </w:rPr>
        <w:t>За последний пятилетний период вспышки желтой лихорадки регистрировались в Анголе, Демократической Республике Конго, Уганде, Гане, Республике Конго, Либерии, Це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н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тральноафриканской Республике, Эфиопии и Южном Судане. В 2023 году эпидемиолог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и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ческое неблагополучие отмечено на те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р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ритории 11 стран. Наибольшее количество случаев зарегистрировано в Республике Чад (2753), Нигерии (1819), Республике Конго (389) и Центральноафриканской Республике (349). Случаи заболевания также выявлены в Ре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с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 xml:space="preserve">публике Гвинея, Габоне, </w:t>
      </w:r>
      <w:proofErr w:type="spellStart"/>
      <w:r w:rsidRPr="004F685F">
        <w:rPr>
          <w:rFonts w:ascii="Times New Roman" w:eastAsia="Times New Roman" w:hAnsi="Times New Roman" w:cs="Times New Roman"/>
          <w:sz w:val="24"/>
          <w:szCs w:val="21"/>
        </w:rPr>
        <w:t>Кот-д</w:t>
      </w:r>
      <w:proofErr w:type="gramStart"/>
      <w:r w:rsidRPr="004F685F">
        <w:rPr>
          <w:rFonts w:ascii="Times New Roman" w:eastAsia="Times New Roman" w:hAnsi="Times New Roman" w:cs="Times New Roman"/>
          <w:sz w:val="24"/>
          <w:szCs w:val="21"/>
        </w:rPr>
        <w:t>`И</w:t>
      </w:r>
      <w:proofErr w:type="gramEnd"/>
      <w:r w:rsidRPr="004F685F">
        <w:rPr>
          <w:rFonts w:ascii="Times New Roman" w:eastAsia="Times New Roman" w:hAnsi="Times New Roman" w:cs="Times New Roman"/>
          <w:sz w:val="24"/>
          <w:szCs w:val="21"/>
        </w:rPr>
        <w:t>вуаре</w:t>
      </w:r>
      <w:proofErr w:type="spellEnd"/>
      <w:r w:rsidRPr="004F685F">
        <w:rPr>
          <w:rFonts w:ascii="Times New Roman" w:eastAsia="Times New Roman" w:hAnsi="Times New Roman" w:cs="Times New Roman"/>
          <w:sz w:val="24"/>
          <w:szCs w:val="21"/>
        </w:rPr>
        <w:t>, Камеруне, Южном Судане, Уганде и С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е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негале. </w:t>
      </w:r>
    </w:p>
    <w:p w:rsidR="004F685F" w:rsidRPr="004F685F" w:rsidRDefault="004F685F" w:rsidP="004F68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proofErr w:type="gramStart"/>
      <w:r w:rsidRPr="004F685F">
        <w:rPr>
          <w:rFonts w:ascii="Times New Roman" w:eastAsia="Times New Roman" w:hAnsi="Times New Roman" w:cs="Times New Roman"/>
          <w:sz w:val="24"/>
          <w:szCs w:val="21"/>
        </w:rPr>
        <w:t>На территории Южной и Центральной Америки за последние 5 лет случаи заболевания желтой лихорадкой были зарегистрированы в Боливии, Бразилии, Колумбии, Эквадоре, Французской Гвиане, Перу и Суринаме.</w:t>
      </w:r>
      <w:proofErr w:type="gramEnd"/>
      <w:r w:rsidRPr="004F685F">
        <w:rPr>
          <w:rFonts w:ascii="Times New Roman" w:eastAsia="Times New Roman" w:hAnsi="Times New Roman" w:cs="Times New Roman"/>
          <w:sz w:val="24"/>
          <w:szCs w:val="21"/>
        </w:rPr>
        <w:t xml:space="preserve"> Наибольшее количество заболевших регистрир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у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ется в Браз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и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лии, в 2022 году выявлено 547 случаев заболевания, в 2023 – 3 случая. Кроме того, в 2022-2023 годах отмечено эпидемиологическое неблагополучие по желтой лих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о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радке в Боливии (16 случаев).</w:t>
      </w:r>
    </w:p>
    <w:p w:rsidR="004F685F" w:rsidRPr="004F685F" w:rsidRDefault="004F685F" w:rsidP="004F68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</w:rPr>
      </w:pPr>
      <w:r w:rsidRPr="004F685F">
        <w:rPr>
          <w:rFonts w:ascii="Times New Roman" w:eastAsia="Times New Roman" w:hAnsi="Times New Roman" w:cs="Times New Roman"/>
          <w:sz w:val="24"/>
          <w:szCs w:val="21"/>
        </w:rPr>
        <w:t> Желтая лихорадка – это трансмиссивное заболевание, переносчиками вируса являются комары</w:t>
      </w:r>
      <w:r w:rsidRPr="004F685F">
        <w:rPr>
          <w:rFonts w:ascii="Times New Roman" w:eastAsia="Times New Roman" w:hAnsi="Times New Roman" w:cs="Times New Roman"/>
          <w:i/>
          <w:iCs/>
          <w:sz w:val="24"/>
        </w:rPr>
        <w:t>. 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 xml:space="preserve">В странах Америки желтая лихорадка распространяется комарами рода </w:t>
      </w:r>
      <w:proofErr w:type="spellStart"/>
      <w:r w:rsidRPr="004F685F">
        <w:rPr>
          <w:rFonts w:ascii="Times New Roman" w:eastAsia="Times New Roman" w:hAnsi="Times New Roman" w:cs="Times New Roman"/>
          <w:sz w:val="24"/>
          <w:szCs w:val="21"/>
        </w:rPr>
        <w:t>Наета</w:t>
      </w:r>
      <w:proofErr w:type="gramStart"/>
      <w:r w:rsidRPr="004F685F">
        <w:rPr>
          <w:rFonts w:ascii="Times New Roman" w:eastAsia="Times New Roman" w:hAnsi="Times New Roman" w:cs="Times New Roman"/>
          <w:sz w:val="24"/>
          <w:szCs w:val="21"/>
        </w:rPr>
        <w:t>gogus</w:t>
      </w:r>
      <w:proofErr w:type="spellEnd"/>
      <w:proofErr w:type="gramEnd"/>
      <w:r w:rsidRPr="004F685F">
        <w:rPr>
          <w:rFonts w:ascii="Times New Roman" w:eastAsia="Times New Roman" w:hAnsi="Times New Roman" w:cs="Times New Roman"/>
          <w:sz w:val="24"/>
          <w:szCs w:val="21"/>
        </w:rPr>
        <w:t xml:space="preserve">, в Африке – </w:t>
      </w:r>
      <w:proofErr w:type="spellStart"/>
      <w:r w:rsidRPr="004F685F">
        <w:rPr>
          <w:rFonts w:ascii="Times New Roman" w:eastAsia="Times New Roman" w:hAnsi="Times New Roman" w:cs="Times New Roman"/>
          <w:sz w:val="24"/>
          <w:szCs w:val="21"/>
        </w:rPr>
        <w:t>Aedes</w:t>
      </w:r>
      <w:proofErr w:type="spellEnd"/>
      <w:r w:rsidRPr="004F685F">
        <w:rPr>
          <w:rFonts w:ascii="Times New Roman" w:eastAsia="Times New Roman" w:hAnsi="Times New Roman" w:cs="Times New Roman"/>
          <w:sz w:val="24"/>
          <w:szCs w:val="21"/>
        </w:rPr>
        <w:t>. Заболевание существует в двух эпидемиологических фо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р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мах: лихорадка джунглей (передаётся комарами от заражённых обезьян) и лихорадка н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>а</w:t>
      </w:r>
      <w:r w:rsidRPr="004F685F">
        <w:rPr>
          <w:rFonts w:ascii="Times New Roman" w:eastAsia="Times New Roman" w:hAnsi="Times New Roman" w:cs="Times New Roman"/>
          <w:sz w:val="24"/>
          <w:szCs w:val="21"/>
        </w:rPr>
        <w:t xml:space="preserve">селённых пунктов (передается комаром от человека к человеку). </w:t>
      </w:r>
      <w:proofErr w:type="gramStart"/>
      <w:r w:rsidRPr="004F685F">
        <w:rPr>
          <w:rFonts w:ascii="Times New Roman" w:eastAsia="Times New Roman" w:hAnsi="Times New Roman" w:cs="Times New Roman"/>
          <w:sz w:val="24"/>
          <w:szCs w:val="21"/>
        </w:rPr>
        <w:t>Последняя</w:t>
      </w:r>
      <w:proofErr w:type="gramEnd"/>
      <w:r w:rsidRPr="004F685F">
        <w:rPr>
          <w:rFonts w:ascii="Times New Roman" w:eastAsia="Times New Roman" w:hAnsi="Times New Roman" w:cs="Times New Roman"/>
          <w:sz w:val="24"/>
          <w:szCs w:val="21"/>
        </w:rPr>
        <w:t xml:space="preserve"> вызывает большинство вспышек и эпидемий.</w:t>
      </w:r>
    </w:p>
    <w:p w:rsidR="004F685F" w:rsidRPr="004F685F" w:rsidRDefault="004F685F" w:rsidP="004F6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Cs w:val="21"/>
        </w:rPr>
      </w:pPr>
      <w:proofErr w:type="spellStart"/>
      <w:proofErr w:type="gramStart"/>
      <w:r w:rsidRPr="004F685F">
        <w:rPr>
          <w:rFonts w:ascii="Times New Roman" w:eastAsia="Times New Roman" w:hAnsi="Times New Roman" w:cs="Times New Roman"/>
          <w:i/>
          <w:iCs/>
          <w:color w:val="17365D" w:themeColor="text2" w:themeShade="BF"/>
        </w:rPr>
        <w:t>Справочно</w:t>
      </w:r>
      <w:proofErr w:type="spellEnd"/>
      <w:r w:rsidRPr="004F685F">
        <w:rPr>
          <w:rFonts w:ascii="Times New Roman" w:eastAsia="Times New Roman" w:hAnsi="Times New Roman" w:cs="Times New Roman"/>
          <w:i/>
          <w:iCs/>
          <w:color w:val="17365D" w:themeColor="text2" w:themeShade="BF"/>
        </w:rPr>
        <w:t>: желтая</w:t>
      </w:r>
      <w:proofErr w:type="gramEnd"/>
      <w:r w:rsidRPr="004F685F">
        <w:rPr>
          <w:rFonts w:ascii="Times New Roman" w:eastAsia="Times New Roman" w:hAnsi="Times New Roman" w:cs="Times New Roman"/>
          <w:i/>
          <w:iCs/>
          <w:color w:val="17365D" w:themeColor="text2" w:themeShade="BF"/>
        </w:rPr>
        <w:t xml:space="preserve"> лихорадка – инфекционное природно-очаговое заболевание, распространя</w:t>
      </w:r>
      <w:r w:rsidRPr="004F685F">
        <w:rPr>
          <w:rFonts w:ascii="Times New Roman" w:eastAsia="Times New Roman" w:hAnsi="Times New Roman" w:cs="Times New Roman"/>
          <w:i/>
          <w:iCs/>
          <w:color w:val="17365D" w:themeColor="text2" w:themeShade="BF"/>
        </w:rPr>
        <w:t>ю</w:t>
      </w:r>
      <w:r w:rsidRPr="004F685F">
        <w:rPr>
          <w:rFonts w:ascii="Times New Roman" w:eastAsia="Times New Roman" w:hAnsi="Times New Roman" w:cs="Times New Roman"/>
          <w:i/>
          <w:iCs/>
          <w:color w:val="17365D" w:themeColor="text2" w:themeShade="BF"/>
        </w:rPr>
        <w:t>щееся в странах с теплым и влажным климатом через укусы комаров.</w:t>
      </w:r>
    </w:p>
    <w:p w:rsidR="004F685F" w:rsidRPr="004F685F" w:rsidRDefault="004F685F" w:rsidP="004F68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7365D" w:themeColor="text2" w:themeShade="BF"/>
          <w:szCs w:val="21"/>
        </w:rPr>
      </w:pPr>
      <w:r w:rsidRPr="004F685F">
        <w:rPr>
          <w:rFonts w:ascii="Times New Roman" w:eastAsia="Times New Roman" w:hAnsi="Times New Roman" w:cs="Times New Roman"/>
          <w:i/>
          <w:iCs/>
          <w:color w:val="17365D" w:themeColor="text2" w:themeShade="BF"/>
        </w:rPr>
        <w:t>Инкубационный период заболевания желтой лихорадкой – 6 дней. Желтая лихора</w:t>
      </w:r>
      <w:r w:rsidRPr="004F685F">
        <w:rPr>
          <w:rFonts w:ascii="Times New Roman" w:eastAsia="Times New Roman" w:hAnsi="Times New Roman" w:cs="Times New Roman"/>
          <w:i/>
          <w:iCs/>
          <w:color w:val="17365D" w:themeColor="text2" w:themeShade="BF"/>
        </w:rPr>
        <w:t>д</w:t>
      </w:r>
      <w:r w:rsidRPr="004F685F">
        <w:rPr>
          <w:rFonts w:ascii="Times New Roman" w:eastAsia="Times New Roman" w:hAnsi="Times New Roman" w:cs="Times New Roman"/>
          <w:i/>
          <w:iCs/>
          <w:color w:val="17365D" w:themeColor="text2" w:themeShade="BF"/>
        </w:rPr>
        <w:t>ка, передается при укусе комаров, не встречающихся в Республике Беларусь. Характеризуется острым началом, лихорадкой, тяжелой интоксикацией, тромбогеморрагическим синдромом (возможно кровотеч</w:t>
      </w:r>
      <w:r w:rsidRPr="004F685F">
        <w:rPr>
          <w:rFonts w:ascii="Times New Roman" w:eastAsia="Times New Roman" w:hAnsi="Times New Roman" w:cs="Times New Roman"/>
          <w:i/>
          <w:iCs/>
          <w:color w:val="17365D" w:themeColor="text2" w:themeShade="BF"/>
        </w:rPr>
        <w:t>е</w:t>
      </w:r>
      <w:r w:rsidRPr="004F685F">
        <w:rPr>
          <w:rFonts w:ascii="Times New Roman" w:eastAsia="Times New Roman" w:hAnsi="Times New Roman" w:cs="Times New Roman"/>
          <w:i/>
          <w:iCs/>
          <w:color w:val="17365D" w:themeColor="text2" w:themeShade="BF"/>
        </w:rPr>
        <w:t>ния, сыпь), поражением почек и печ</w:t>
      </w:r>
      <w:r w:rsidRPr="004F685F">
        <w:rPr>
          <w:rFonts w:ascii="Times New Roman" w:eastAsia="Times New Roman" w:hAnsi="Times New Roman" w:cs="Times New Roman"/>
          <w:i/>
          <w:iCs/>
          <w:color w:val="17365D" w:themeColor="text2" w:themeShade="BF"/>
        </w:rPr>
        <w:t>е</w:t>
      </w:r>
      <w:r w:rsidRPr="004F685F">
        <w:rPr>
          <w:rFonts w:ascii="Times New Roman" w:eastAsia="Times New Roman" w:hAnsi="Times New Roman" w:cs="Times New Roman"/>
          <w:i/>
          <w:iCs/>
          <w:color w:val="17365D" w:themeColor="text2" w:themeShade="BF"/>
        </w:rPr>
        <w:t>ни. Около половины людей, у которых развивается тяжелая форма болезни, умирает.</w:t>
      </w:r>
    </w:p>
    <w:p w:rsidR="004F685F" w:rsidRPr="004F685F" w:rsidRDefault="004F685F" w:rsidP="004F68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85F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Профилактическая вакцинация против ЖЛ лиц, направляющихся в </w:t>
      </w:r>
      <w:proofErr w:type="spellStart"/>
      <w:r w:rsidRPr="004F685F">
        <w:rPr>
          <w:rFonts w:ascii="Times New Roman" w:eastAsia="Times New Roman" w:hAnsi="Times New Roman" w:cs="Times New Roman"/>
          <w:sz w:val="24"/>
          <w:szCs w:val="24"/>
        </w:rPr>
        <w:t>эндемичные</w:t>
      </w:r>
      <w:proofErr w:type="spellEnd"/>
      <w:r w:rsidRPr="004F685F">
        <w:rPr>
          <w:rFonts w:ascii="Times New Roman" w:eastAsia="Times New Roman" w:hAnsi="Times New Roman" w:cs="Times New Roman"/>
          <w:sz w:val="24"/>
          <w:szCs w:val="24"/>
        </w:rPr>
        <w:t xml:space="preserve"> по данной инфекции страны, является единственным и самым надежным средством предупреждения заболевания.</w:t>
      </w:r>
    </w:p>
    <w:p w:rsidR="004F685F" w:rsidRPr="004F685F" w:rsidRDefault="004F685F" w:rsidP="004F68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85F">
        <w:rPr>
          <w:rFonts w:ascii="Times New Roman" w:eastAsia="Times New Roman" w:hAnsi="Times New Roman" w:cs="Times New Roman"/>
          <w:sz w:val="24"/>
          <w:szCs w:val="24"/>
        </w:rPr>
        <w:t>Вакцины против желтой лихорадки обеспечивают защиту от инфекции по истеч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нии 10 дней после проведения прививки и устойчивый пожизненный иммунитет после однокра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ной вакцинации против ЖЛ, что изложено в обновленном прил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жении 7 ММСП (2005 г.), вступившем в силу 11.07.2016. Вакцинации подлежат взрослые и дети с 9-месячного во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раста.</w:t>
      </w:r>
    </w:p>
    <w:p w:rsidR="004F685F" w:rsidRPr="004F685F" w:rsidRDefault="004F685F" w:rsidP="004F68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85F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ММСП (2005 г.) лица, подвергшиеся вакцинации, пол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чают международное свидетельство о вакцинации или профилактике. Свидетельства о вакцинации полностью заполняются на английском или французском языках, в дополн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ние – на русском языке. На свидетельстве обязательно пр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 xml:space="preserve">ставляется штамп учреждения, 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lastRenderedPageBreak/>
        <w:t>где проведена процедура. Свидетельства о вакцинации считаются индивидуальным док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ментом.</w:t>
      </w:r>
    </w:p>
    <w:p w:rsidR="004F685F" w:rsidRPr="004F685F" w:rsidRDefault="004F685F" w:rsidP="004F68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85F">
        <w:rPr>
          <w:rFonts w:ascii="Times New Roman" w:eastAsia="Times New Roman" w:hAnsi="Times New Roman" w:cs="Times New Roman"/>
          <w:sz w:val="24"/>
          <w:szCs w:val="24"/>
        </w:rPr>
        <w:t>Ежегодно ВОЗ публикует перечень стран, в которых существует наличие риска передачи ЖЛ, а также перечень стран, при въезде в которые требуется наличие международного свид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тельства о вакцинации против ЖЛ для путешественников (приложения № 1 и № 3).</w:t>
      </w:r>
    </w:p>
    <w:p w:rsidR="004F685F" w:rsidRPr="004F685F" w:rsidRDefault="004F685F" w:rsidP="004F68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685F">
        <w:rPr>
          <w:rFonts w:ascii="Times New Roman" w:eastAsia="Times New Roman" w:hAnsi="Times New Roman" w:cs="Times New Roman"/>
          <w:sz w:val="24"/>
          <w:szCs w:val="24"/>
        </w:rPr>
        <w:t>Лица, совершающие поездку, у которых отсутствуют свидетельства о вакцинации против ЖЛ, въезжающие на территории стран, где присутствуют переносчики ЖЛ, совершающие поездки из стран имеющих риски передачи ЖЛ, могут быть по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вергнуты карантину на период инкубационного периода (шесть дней), медици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скому обследованию или иным профилактическим мерам вплоть до отказа во въезде в страну в соответствии со статьей 31 ММСП</w:t>
      </w:r>
      <w:proofErr w:type="gramEnd"/>
    </w:p>
    <w:p w:rsidR="004F685F" w:rsidRPr="004F685F" w:rsidRDefault="004F685F" w:rsidP="004F68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85F">
        <w:rPr>
          <w:rFonts w:ascii="Times New Roman" w:eastAsia="Times New Roman" w:hAnsi="Times New Roman" w:cs="Times New Roman"/>
          <w:sz w:val="24"/>
          <w:szCs w:val="24"/>
        </w:rPr>
        <w:t>(2005 г.).</w:t>
      </w:r>
    </w:p>
    <w:p w:rsidR="004F685F" w:rsidRPr="004F685F" w:rsidRDefault="004F685F" w:rsidP="004F68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85F">
        <w:rPr>
          <w:rFonts w:ascii="Times New Roman" w:eastAsia="Times New Roman" w:hAnsi="Times New Roman" w:cs="Times New Roman"/>
          <w:sz w:val="24"/>
          <w:szCs w:val="24"/>
        </w:rPr>
        <w:t>Транзитным пассажирам, находящимся в аэропорту более 12 часов, где имеется риск п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редачи ЖЛ, необходимо иметь сведения о проведении вакцинации. Ряд стран предъявляет требования о наличии свидетельства о вакцинации против ЖЛ у пассажиров, которые проследовали транзитом через аэропорт, находящийся на территории страны с риском п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редачи же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той лихорадки, независимо от времени транзитного нахождения (приложение № 2).</w:t>
      </w:r>
    </w:p>
    <w:p w:rsidR="004F685F" w:rsidRPr="004F685F" w:rsidRDefault="004F685F" w:rsidP="004F68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85F">
        <w:rPr>
          <w:rFonts w:ascii="Times New Roman" w:eastAsia="Times New Roman" w:hAnsi="Times New Roman" w:cs="Times New Roman"/>
          <w:sz w:val="24"/>
          <w:szCs w:val="24"/>
        </w:rPr>
        <w:t>В соответствии с ММСП (2005 г.) каждое государство самостоятельно определяет на св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ей территории центры вакцинации против желтой лихорадки, чтобы обеспечить качество и без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пасность применяемых препаратов и процедур.</w:t>
      </w:r>
    </w:p>
    <w:p w:rsidR="004F685F" w:rsidRPr="004F685F" w:rsidRDefault="004F685F" w:rsidP="004F685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454E72"/>
          <w:sz w:val="24"/>
          <w:szCs w:val="24"/>
        </w:rPr>
      </w:pPr>
      <w:r w:rsidRPr="004F685F">
        <w:rPr>
          <w:rFonts w:ascii="Times New Roman" w:eastAsia="Times New Roman" w:hAnsi="Times New Roman" w:cs="Times New Roman"/>
          <w:sz w:val="24"/>
          <w:szCs w:val="24"/>
        </w:rPr>
        <w:t>Вакцинация против ЖЛ в Республике Беларусь проводится в учреждении здравоохран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ния «19 центральная районная поликлиника Первомайского района г</w:t>
      </w:r>
      <w:proofErr w:type="gramStart"/>
      <w:r w:rsidRPr="004F685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4F685F">
        <w:rPr>
          <w:rFonts w:ascii="Times New Roman" w:eastAsia="Times New Roman" w:hAnsi="Times New Roman" w:cs="Times New Roman"/>
          <w:sz w:val="24"/>
          <w:szCs w:val="24"/>
        </w:rPr>
        <w:t>инска», распол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женном по адресу: г.Минск, проспект Независимости, 119 (Республиканский прививо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ный кабинет против желтой лихорадки – кабинет № 701А, режим работы: понедельник, среда, пятница с 08.00 до 13.00, контактный телефон (017) 374-07-22). При себе обяз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685F">
        <w:rPr>
          <w:rFonts w:ascii="Times New Roman" w:eastAsia="Times New Roman" w:hAnsi="Times New Roman" w:cs="Times New Roman"/>
          <w:sz w:val="24"/>
          <w:szCs w:val="24"/>
        </w:rPr>
        <w:t>тельно иметь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  <w:szCs w:val="24"/>
        </w:rPr>
        <w:t> паспорт и справку об отсутствии противопоказаний к проведению пр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  <w:szCs w:val="24"/>
        </w:rPr>
        <w:t>о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  <w:szCs w:val="24"/>
        </w:rPr>
        <w:t>филактических прививок против же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  <w:szCs w:val="24"/>
        </w:rPr>
        <w:t>л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  <w:szCs w:val="24"/>
        </w:rPr>
        <w:t>той лихорадки установленного образца.</w:t>
      </w:r>
    </w:p>
    <w:p w:rsidR="004F685F" w:rsidRPr="004F685F" w:rsidRDefault="004F685F" w:rsidP="004F68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E72"/>
          <w:sz w:val="21"/>
          <w:szCs w:val="21"/>
        </w:rPr>
      </w:pPr>
      <w:r w:rsidRPr="004F685F">
        <w:rPr>
          <w:rFonts w:ascii="Times New Roman" w:eastAsia="Times New Roman" w:hAnsi="Times New Roman" w:cs="Times New Roman"/>
          <w:i/>
          <w:iCs/>
          <w:color w:val="244061" w:themeColor="accent1" w:themeShade="80"/>
        </w:rPr>
        <w:t>Информация подготовлена на основании электронных сообщений из общедоступных и</w:t>
      </w:r>
      <w:r w:rsidRPr="004F685F">
        <w:rPr>
          <w:rFonts w:ascii="Times New Roman" w:eastAsia="Times New Roman" w:hAnsi="Times New Roman" w:cs="Times New Roman"/>
          <w:i/>
          <w:iCs/>
          <w:color w:val="244061" w:themeColor="accent1" w:themeShade="80"/>
        </w:rPr>
        <w:t>с</w:t>
      </w:r>
      <w:r w:rsidRPr="004F685F">
        <w:rPr>
          <w:rFonts w:ascii="Times New Roman" w:eastAsia="Times New Roman" w:hAnsi="Times New Roman" w:cs="Times New Roman"/>
          <w:i/>
          <w:iCs/>
          <w:color w:val="244061" w:themeColor="accent1" w:themeShade="80"/>
        </w:rPr>
        <w:t>точников, размещенных в сети Инте</w:t>
      </w:r>
      <w:r w:rsidRPr="004F685F">
        <w:rPr>
          <w:rFonts w:ascii="Times New Roman" w:eastAsia="Times New Roman" w:hAnsi="Times New Roman" w:cs="Times New Roman"/>
          <w:i/>
          <w:iCs/>
          <w:color w:val="244061" w:themeColor="accent1" w:themeShade="80"/>
        </w:rPr>
        <w:t>р</w:t>
      </w:r>
      <w:r w:rsidRPr="004F685F">
        <w:rPr>
          <w:rFonts w:ascii="Times New Roman" w:eastAsia="Times New Roman" w:hAnsi="Times New Roman" w:cs="Times New Roman"/>
          <w:i/>
          <w:iCs/>
          <w:color w:val="244061" w:themeColor="accent1" w:themeShade="80"/>
        </w:rPr>
        <w:t>нет:</w:t>
      </w:r>
      <w:r w:rsidRPr="004F685F">
        <w:rPr>
          <w:rFonts w:ascii="Times New Roman" w:eastAsia="Times New Roman" w:hAnsi="Times New Roman" w:cs="Times New Roman"/>
          <w:color w:val="244061" w:themeColor="accent1" w:themeShade="80"/>
          <w:szCs w:val="21"/>
        </w:rPr>
        <w:t> </w:t>
      </w:r>
      <w:r w:rsidRPr="004F685F">
        <w:rPr>
          <w:rFonts w:ascii="Times New Roman" w:eastAsia="Times New Roman" w:hAnsi="Times New Roman" w:cs="Times New Roman"/>
          <w:i/>
          <w:iCs/>
          <w:color w:val="244061" w:themeColor="accent1" w:themeShade="80"/>
        </w:rPr>
        <w:t>html htt://rospotrebnadzor.ru, </w:t>
      </w:r>
      <w:hyperlink r:id="rId5" w:history="1">
        <w:r w:rsidRPr="004F685F">
          <w:rPr>
            <w:rFonts w:ascii="Times New Roman" w:eastAsia="Times New Roman" w:hAnsi="Times New Roman" w:cs="Times New Roman"/>
            <w:i/>
            <w:iCs/>
            <w:color w:val="244061" w:themeColor="accent1" w:themeShade="80"/>
          </w:rPr>
          <w:t>https://www.19crp.by/19-poliklinika</w:t>
        </w:r>
      </w:hyperlink>
      <w:r w:rsidRPr="004F685F">
        <w:rPr>
          <w:rFonts w:ascii="Arial" w:eastAsia="Times New Roman" w:hAnsi="Arial" w:cs="Arial"/>
          <w:i/>
          <w:iCs/>
          <w:color w:val="F0506E"/>
          <w:sz w:val="21"/>
        </w:rPr>
        <w:t>.</w:t>
      </w:r>
    </w:p>
    <w:p w:rsidR="004F685F" w:rsidRPr="004F685F" w:rsidRDefault="004F685F" w:rsidP="004F68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1"/>
        </w:rPr>
      </w:pPr>
      <w:r w:rsidRPr="004F685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</w:rPr>
        <w:t>                                                                                       </w:t>
      </w:r>
      <w:r w:rsidRPr="004F685F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1"/>
        </w:rPr>
        <w:t>Приложение 1</w:t>
      </w:r>
    </w:p>
    <w:p w:rsidR="004F685F" w:rsidRPr="004F685F" w:rsidRDefault="004F685F" w:rsidP="004F68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1"/>
        </w:rPr>
      </w:pPr>
      <w:r w:rsidRPr="004F685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</w:rPr>
        <w:t>Список стран, требующих наличия международного свидетельства о вакцинации против желтой лихорадки у лиц, прибывающих из любой страны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685F" w:rsidTr="004F685F">
        <w:tc>
          <w:tcPr>
            <w:tcW w:w="4785" w:type="dxa"/>
          </w:tcPr>
          <w:p w:rsidR="004F685F" w:rsidRPr="004F685F" w:rsidRDefault="004F685F" w:rsidP="004F6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  <w:r w:rsidRPr="004F685F"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  <w:t>Ангола </w:t>
            </w:r>
          </w:p>
          <w:p w:rsidR="004F685F" w:rsidRPr="004F685F" w:rsidRDefault="004F685F" w:rsidP="004F6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  <w:r w:rsidRPr="004F685F"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  <w:t>Бенин</w:t>
            </w:r>
          </w:p>
          <w:p w:rsidR="004F685F" w:rsidRPr="004F685F" w:rsidRDefault="004F685F" w:rsidP="004F6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  <w:r w:rsidRPr="004F685F"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  <w:t>Буркина-Фасо</w:t>
            </w:r>
          </w:p>
          <w:p w:rsidR="004F685F" w:rsidRPr="004F685F" w:rsidRDefault="004F685F" w:rsidP="004F6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  <w:r w:rsidRPr="004F685F"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  <w:t>Бурунди</w:t>
            </w:r>
          </w:p>
          <w:p w:rsidR="004F685F" w:rsidRPr="004F685F" w:rsidRDefault="004F685F" w:rsidP="004F6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  <w:r w:rsidRPr="004F685F"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  <w:t>Габон </w:t>
            </w:r>
          </w:p>
          <w:p w:rsidR="004F685F" w:rsidRPr="004F685F" w:rsidRDefault="004F685F" w:rsidP="004F6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  <w:r w:rsidRPr="004F685F"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  <w:t>Гана</w:t>
            </w:r>
          </w:p>
          <w:p w:rsidR="004F685F" w:rsidRPr="004F685F" w:rsidRDefault="004F685F" w:rsidP="004F6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  <w:r w:rsidRPr="004F685F"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  <w:t>Гвиана Французская </w:t>
            </w:r>
          </w:p>
          <w:p w:rsidR="004F685F" w:rsidRPr="004F685F" w:rsidRDefault="004F685F" w:rsidP="004F6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  <w:r w:rsidRPr="004F685F"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  <w:t>Гвинея-Бисау</w:t>
            </w:r>
          </w:p>
          <w:p w:rsidR="004F685F" w:rsidRPr="004F685F" w:rsidRDefault="004F685F" w:rsidP="004F6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  <w:r w:rsidRPr="004F685F"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  <w:t>Демократическая Республика Конго</w:t>
            </w:r>
          </w:p>
          <w:p w:rsidR="004F685F" w:rsidRPr="004F685F" w:rsidRDefault="004F685F" w:rsidP="004F6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  <w:r w:rsidRPr="004F685F"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  <w:t>Камерун</w:t>
            </w:r>
          </w:p>
          <w:p w:rsidR="004F685F" w:rsidRDefault="004F685F" w:rsidP="004F685F">
            <w:pPr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</w:p>
        </w:tc>
        <w:tc>
          <w:tcPr>
            <w:tcW w:w="4786" w:type="dxa"/>
          </w:tcPr>
          <w:p w:rsidR="004F685F" w:rsidRPr="004F685F" w:rsidRDefault="004F685F" w:rsidP="004F6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  <w:r w:rsidRPr="004F685F"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  <w:t>Конго</w:t>
            </w:r>
          </w:p>
          <w:p w:rsidR="004F685F" w:rsidRPr="004F685F" w:rsidRDefault="004F685F" w:rsidP="004F6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  <w:r w:rsidRPr="004F685F"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  <w:t xml:space="preserve">Кот – </w:t>
            </w:r>
            <w:proofErr w:type="spellStart"/>
            <w:r w:rsidRPr="004F685F"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  <w:t>д’Ивуар</w:t>
            </w:r>
            <w:proofErr w:type="spellEnd"/>
          </w:p>
          <w:p w:rsidR="004F685F" w:rsidRPr="004F685F" w:rsidRDefault="004F685F" w:rsidP="004F6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  <w:r w:rsidRPr="004F685F"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  <w:t>Мали</w:t>
            </w:r>
          </w:p>
          <w:p w:rsidR="004F685F" w:rsidRPr="004F685F" w:rsidRDefault="004F685F" w:rsidP="004F6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  <w:r w:rsidRPr="004F685F"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  <w:t>Нигер</w:t>
            </w:r>
          </w:p>
          <w:p w:rsidR="004F685F" w:rsidRPr="004F685F" w:rsidRDefault="004F685F" w:rsidP="004F6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  <w:r w:rsidRPr="004F685F"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  <w:t>Сьерра-Леоне</w:t>
            </w:r>
          </w:p>
          <w:p w:rsidR="004F685F" w:rsidRPr="004F685F" w:rsidRDefault="004F685F" w:rsidP="004F6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  <w:r w:rsidRPr="004F685F"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  <w:t>Того</w:t>
            </w:r>
          </w:p>
          <w:p w:rsidR="004F685F" w:rsidRPr="004F685F" w:rsidRDefault="004F685F" w:rsidP="004F6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  <w:r w:rsidRPr="004F685F"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  <w:t>Уганда</w:t>
            </w:r>
          </w:p>
          <w:p w:rsidR="004F685F" w:rsidRPr="004F685F" w:rsidRDefault="004F685F" w:rsidP="004F6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  <w:r w:rsidRPr="004F685F"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  <w:t>Центральноафриканская Республика</w:t>
            </w:r>
          </w:p>
          <w:p w:rsidR="004F685F" w:rsidRPr="004F685F" w:rsidRDefault="004F685F" w:rsidP="004F685F">
            <w:pPr>
              <w:shd w:val="clear" w:color="auto" w:fill="FFFFFF"/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  <w:r w:rsidRPr="004F685F"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  <w:t>Южный Судан</w:t>
            </w:r>
          </w:p>
          <w:p w:rsidR="004F685F" w:rsidRDefault="004F685F" w:rsidP="004F685F">
            <w:pPr>
              <w:rPr>
                <w:rFonts w:ascii="Times New Roman" w:eastAsia="Times New Roman" w:hAnsi="Times New Roman" w:cs="Times New Roman"/>
                <w:color w:val="454E72"/>
                <w:sz w:val="24"/>
                <w:szCs w:val="21"/>
              </w:rPr>
            </w:pPr>
          </w:p>
        </w:tc>
      </w:tr>
    </w:tbl>
    <w:p w:rsidR="004F685F" w:rsidRDefault="004F685F" w:rsidP="004F6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E72"/>
          <w:sz w:val="24"/>
          <w:szCs w:val="21"/>
        </w:rPr>
      </w:pPr>
    </w:p>
    <w:p w:rsidR="004F685F" w:rsidRPr="004F685F" w:rsidRDefault="004F685F" w:rsidP="004F685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44061" w:themeColor="accent1" w:themeShade="80"/>
          <w:sz w:val="21"/>
          <w:szCs w:val="21"/>
        </w:rPr>
      </w:pPr>
      <w:r w:rsidRPr="004F685F">
        <w:rPr>
          <w:rFonts w:ascii="Arial" w:eastAsia="Times New Roman" w:hAnsi="Arial" w:cs="Arial"/>
          <w:b/>
          <w:bCs/>
          <w:color w:val="454E72"/>
          <w:sz w:val="21"/>
        </w:rPr>
        <w:t>                                                                                </w:t>
      </w:r>
      <w:r w:rsidRPr="004F685F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</w:rPr>
        <w:t> </w:t>
      </w:r>
      <w:r w:rsidRPr="004F685F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1"/>
        </w:rPr>
        <w:t>Приложение 2</w:t>
      </w:r>
    </w:p>
    <w:p w:rsidR="004F685F" w:rsidRPr="004F685F" w:rsidRDefault="004F685F" w:rsidP="004F685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54E72"/>
          <w:sz w:val="21"/>
          <w:szCs w:val="21"/>
        </w:rPr>
      </w:pPr>
      <w:r w:rsidRPr="004F685F">
        <w:rPr>
          <w:rFonts w:ascii="Arial" w:eastAsia="Times New Roman" w:hAnsi="Arial" w:cs="Arial"/>
          <w:b/>
          <w:bCs/>
          <w:color w:val="454E72"/>
          <w:sz w:val="21"/>
        </w:rPr>
        <w:lastRenderedPageBreak/>
        <w:t> </w:t>
      </w:r>
    </w:p>
    <w:p w:rsidR="004F685F" w:rsidRPr="004F685F" w:rsidRDefault="004F685F" w:rsidP="004F68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54E72"/>
          <w:sz w:val="24"/>
          <w:szCs w:val="21"/>
        </w:rPr>
      </w:pP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</w:rPr>
        <w:t xml:space="preserve">Список стран, требующих наличия международного свидетельства о вакцинации против желтой лихорадки для всех путешественников, прибывающих из </w:t>
      </w:r>
      <w:proofErr w:type="spellStart"/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</w:rPr>
        <w:t>эндеми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</w:rPr>
        <w:t>ч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</w:rPr>
        <w:t>ных</w:t>
      </w:r>
      <w:proofErr w:type="spellEnd"/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</w:rPr>
        <w:t xml:space="preserve"> стран по желтой лихора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</w:rPr>
        <w:t>д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</w:rPr>
        <w:t>ке</w:t>
      </w:r>
    </w:p>
    <w:tbl>
      <w:tblPr>
        <w:tblW w:w="904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0"/>
        <w:gridCol w:w="3398"/>
        <w:gridCol w:w="2992"/>
      </w:tblGrid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Австралия*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Казахстан**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Пакистан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Алжир*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Кения, Катар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Панама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Албания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КНДР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proofErr w:type="spellStart"/>
            <w:proofErr w:type="gram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Папуа-Новая</w:t>
            </w:r>
            <w:proofErr w:type="spellEnd"/>
            <w:proofErr w:type="gramEnd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 Гвинея**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Антигуа и </w:t>
            </w: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Барбуда</w:t>
            </w:r>
            <w:proofErr w:type="spellEnd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*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Китай*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Руанда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Аруба</w:t>
            </w:r>
            <w:proofErr w:type="spellEnd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*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proofErr w:type="spellStart"/>
            <w:proofErr w:type="gram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Коста</w:t>
            </w:r>
            <w:proofErr w:type="spellEnd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 </w:t>
            </w: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Рика</w:t>
            </w:r>
            <w:proofErr w:type="spellEnd"/>
            <w:proofErr w:type="gramEnd"/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Сальвадор*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Багамы*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Кюрасао</w:t>
            </w:r>
            <w:proofErr w:type="spellEnd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*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Сен-Винсент и Гренадины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Бахрейн*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Колумбия*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Сен-Мартен, Сент-Люсия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Бангладеш**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Кабо-Верде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Сейшеллы</w:t>
            </w:r>
            <w:proofErr w:type="spellEnd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*, 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Барбадос 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Камборджа</w:t>
            </w:r>
            <w:proofErr w:type="spellEnd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*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Сененгал</w:t>
            </w:r>
            <w:proofErr w:type="spellEnd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**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Бруней*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Куба*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Самоа*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Боливия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Либерия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Сан Том и Принсипи**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Бонэйр</w:t>
            </w:r>
            <w:proofErr w:type="spellEnd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*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Мадагаскар*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Саудовская Аравия*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Ботсвана**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Малайзия*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Соломоновы острова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Венесуэла*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Мартиника*, </w:t>
            </w: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Монсерат</w:t>
            </w:r>
            <w:proofErr w:type="spellEnd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**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Суринам*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Гренада*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Мавритания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Сингапур*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Гватемала* Гваделупа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Малави* Мали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Сент-Бартельми</w:t>
            </w:r>
            <w:proofErr w:type="spellEnd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*</w:t>
            </w:r>
          </w:p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Сент-Китс</w:t>
            </w:r>
            <w:proofErr w:type="spellEnd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 и </w:t>
            </w: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Невис</w:t>
            </w:r>
            <w:proofErr w:type="spellEnd"/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Гамбия*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Мальдивские острова*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Танзания*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Гвинея 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Майотта</w:t>
            </w:r>
            <w:proofErr w:type="spellEnd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*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Таиланд*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Гайана** 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Мьянма*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Французская Полинезия*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Гондурас </w:t>
            </w:r>
            <w:r w:rsidRPr="004F685F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</w:rPr>
              <w:t> 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Мозамбик*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Фиджи*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Гаити </w:t>
            </w:r>
          </w:p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 Джибути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Мальта* Непал*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Филиппины*</w:t>
            </w:r>
          </w:p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Чад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Доминиканская Р.*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Никарагуа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Шри-Ланка*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Доминика* </w:t>
            </w:r>
          </w:p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Египет*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Новая Каледония* </w:t>
            </w: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Ниуэ</w:t>
            </w:r>
            <w:proofErr w:type="spellEnd"/>
          </w:p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Намибия 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Эквиториальная</w:t>
            </w:r>
            <w:proofErr w:type="spellEnd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 Гвинея</w:t>
            </w:r>
          </w:p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Эквадор*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Замбия*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Нигерия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Эфиопия**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Зимбабве*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О. </w:t>
            </w: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Пиктэрн</w:t>
            </w:r>
            <w:proofErr w:type="spellEnd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, О. Рождества*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Эритрея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Индия**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ОАЭ* Оман*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Эсватини</w:t>
            </w:r>
            <w:proofErr w:type="spellEnd"/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Иран*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Остров Святой Елены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ЮАР*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Индонезия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Острова </w:t>
            </w: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Уоллис</w:t>
            </w:r>
            <w:proofErr w:type="spellEnd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 xml:space="preserve"> и </w:t>
            </w: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Футуна</w:t>
            </w:r>
            <w:proofErr w:type="spellEnd"/>
            <w:r w:rsidRPr="004F685F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</w:rPr>
              <w:t>*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Ямайка*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605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 </w:t>
            </w:r>
          </w:p>
        </w:tc>
        <w:tc>
          <w:tcPr>
            <w:tcW w:w="3368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</w:rPr>
              <w:t>Парагвай</w:t>
            </w:r>
          </w:p>
        </w:tc>
        <w:tc>
          <w:tcPr>
            <w:tcW w:w="294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</w:rPr>
            </w:pPr>
            <w:r w:rsidRPr="004F685F">
              <w:rPr>
                <w:rFonts w:ascii="Times New Roman" w:eastAsia="Times New Roman" w:hAnsi="Times New Roman" w:cs="Times New Roman"/>
                <w:i/>
                <w:iCs/>
                <w:color w:val="244061" w:themeColor="accent1" w:themeShade="80"/>
              </w:rPr>
              <w:t> </w:t>
            </w:r>
          </w:p>
        </w:tc>
      </w:tr>
    </w:tbl>
    <w:p w:rsidR="004F685F" w:rsidRDefault="004F685F" w:rsidP="004F68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454E72"/>
          <w:sz w:val="24"/>
          <w:szCs w:val="24"/>
        </w:rPr>
      </w:pPr>
      <w:r w:rsidRPr="004F685F">
        <w:rPr>
          <w:rFonts w:ascii="Arial" w:eastAsia="Times New Roman" w:hAnsi="Arial" w:cs="Arial"/>
          <w:color w:val="454E72"/>
          <w:sz w:val="21"/>
          <w:szCs w:val="21"/>
        </w:rPr>
        <w:t> 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  <w:szCs w:val="24"/>
          <w:vertAlign w:val="superscript"/>
        </w:rPr>
        <w:t>*  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  <w:szCs w:val="24"/>
        </w:rPr>
        <w:t>Включает в себя требование по наличию свидетельства о вакцинации у лиц, кот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  <w:szCs w:val="24"/>
        </w:rPr>
        <w:t>о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  <w:szCs w:val="24"/>
        </w:rPr>
        <w:t>рые провели более 12 часов в транзитном аэропорту, находящемся на территории страны, где имеет место риск передачи желтой лихорадки. </w:t>
      </w:r>
    </w:p>
    <w:p w:rsidR="004F685F" w:rsidRPr="004F685F" w:rsidRDefault="004F685F" w:rsidP="004F68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54E72"/>
          <w:sz w:val="24"/>
          <w:szCs w:val="24"/>
        </w:rPr>
      </w:pP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  <w:szCs w:val="24"/>
        </w:rPr>
        <w:t> 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  <w:szCs w:val="24"/>
          <w:vertAlign w:val="superscript"/>
        </w:rPr>
        <w:t>** 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  <w:szCs w:val="24"/>
        </w:rPr>
        <w:t>Включает в себя требование по наличию свидетельства о вакцинации у лиц, кот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  <w:szCs w:val="24"/>
        </w:rPr>
        <w:t>о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  <w:szCs w:val="24"/>
        </w:rPr>
        <w:t>рые проследовали тра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  <w:szCs w:val="24"/>
        </w:rPr>
        <w:t>н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  <w:szCs w:val="24"/>
        </w:rPr>
        <w:t>зитом через аэропорт, находящийся на территории страны, где имеет место риск п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  <w:szCs w:val="24"/>
        </w:rPr>
        <w:t>е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  <w:szCs w:val="24"/>
        </w:rPr>
        <w:t>редачи желтой лихорадки.</w:t>
      </w:r>
    </w:p>
    <w:p w:rsidR="004F685F" w:rsidRPr="004F685F" w:rsidRDefault="004F685F" w:rsidP="004F685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244061" w:themeColor="accent1" w:themeShade="80"/>
          <w:sz w:val="21"/>
          <w:szCs w:val="21"/>
        </w:rPr>
      </w:pPr>
      <w:r w:rsidRPr="004F685F">
        <w:rPr>
          <w:rFonts w:ascii="Arial" w:eastAsia="Times New Roman" w:hAnsi="Arial" w:cs="Arial"/>
          <w:b/>
          <w:bCs/>
          <w:color w:val="454E72"/>
          <w:sz w:val="21"/>
        </w:rPr>
        <w:t>                                                                                          </w:t>
      </w:r>
      <w:r w:rsidRPr="004F685F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1"/>
        </w:rPr>
        <w:t>Приложение 3</w:t>
      </w:r>
    </w:p>
    <w:p w:rsidR="004F685F" w:rsidRPr="004F685F" w:rsidRDefault="004F685F" w:rsidP="004F685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454E72"/>
          <w:sz w:val="21"/>
          <w:szCs w:val="21"/>
        </w:rPr>
      </w:pPr>
      <w:r w:rsidRPr="004F685F">
        <w:rPr>
          <w:rFonts w:ascii="Arial" w:eastAsia="Times New Roman" w:hAnsi="Arial" w:cs="Arial"/>
          <w:b/>
          <w:bCs/>
          <w:color w:val="454E72"/>
          <w:sz w:val="21"/>
        </w:rPr>
        <w:t> 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</w:rPr>
        <w:t xml:space="preserve">Список стран, </w:t>
      </w:r>
      <w:proofErr w:type="spellStart"/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</w:rPr>
        <w:t>эндемичных</w:t>
      </w:r>
      <w:proofErr w:type="spellEnd"/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</w:rPr>
        <w:t xml:space="preserve"> по желтой лихорадке, при выезде в которые каждому п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</w:rPr>
        <w:t>у</w:t>
      </w:r>
      <w:r w:rsidRPr="004F685F">
        <w:rPr>
          <w:rFonts w:ascii="Times New Roman" w:eastAsia="Times New Roman" w:hAnsi="Times New Roman" w:cs="Times New Roman"/>
          <w:b/>
          <w:bCs/>
          <w:color w:val="454E72"/>
          <w:sz w:val="24"/>
        </w:rPr>
        <w:t>тешественнику рекомендуется проведение вакцинации против желтой лихорадки</w:t>
      </w:r>
    </w:p>
    <w:tbl>
      <w:tblPr>
        <w:tblW w:w="92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2"/>
        <w:gridCol w:w="3544"/>
        <w:gridCol w:w="3118"/>
      </w:tblGrid>
      <w:tr w:rsidR="004F685F" w:rsidRPr="004F685F" w:rsidTr="004F685F">
        <w:trPr>
          <w:tblCellSpacing w:w="15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Ангола</w:t>
            </w:r>
          </w:p>
        </w:tc>
        <w:tc>
          <w:tcPr>
            <w:tcW w:w="3514" w:type="dxa"/>
            <w:shd w:val="clear" w:color="auto" w:fill="FFFFFF"/>
            <w:hideMark/>
          </w:tcPr>
          <w:p w:rsidR="004F685F" w:rsidRPr="004F685F" w:rsidRDefault="004F685F" w:rsidP="00257C8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Мали</w:t>
            </w:r>
          </w:p>
        </w:tc>
        <w:tc>
          <w:tcPr>
            <w:tcW w:w="3073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Аргентина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Бенин</w:t>
            </w:r>
          </w:p>
        </w:tc>
        <w:tc>
          <w:tcPr>
            <w:tcW w:w="3514" w:type="dxa"/>
            <w:shd w:val="clear" w:color="auto" w:fill="FFFFFF"/>
            <w:hideMark/>
          </w:tcPr>
          <w:p w:rsidR="004F685F" w:rsidRPr="004F685F" w:rsidRDefault="004F685F" w:rsidP="00257C8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Мавритания</w:t>
            </w:r>
          </w:p>
        </w:tc>
        <w:tc>
          <w:tcPr>
            <w:tcW w:w="3073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Боливия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proofErr w:type="gram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Буркина</w:t>
            </w:r>
            <w:proofErr w:type="spellEnd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Фасо</w:t>
            </w:r>
            <w:proofErr w:type="spellEnd"/>
            <w:proofErr w:type="gramEnd"/>
          </w:p>
        </w:tc>
        <w:tc>
          <w:tcPr>
            <w:tcW w:w="3514" w:type="dxa"/>
            <w:shd w:val="clear" w:color="auto" w:fill="FFFFFF"/>
            <w:hideMark/>
          </w:tcPr>
          <w:p w:rsidR="004F685F" w:rsidRPr="004F685F" w:rsidRDefault="004F685F" w:rsidP="00257C8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Нигерия</w:t>
            </w:r>
          </w:p>
        </w:tc>
        <w:tc>
          <w:tcPr>
            <w:tcW w:w="3073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Бразилия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Бурунди</w:t>
            </w:r>
          </w:p>
        </w:tc>
        <w:tc>
          <w:tcPr>
            <w:tcW w:w="3514" w:type="dxa"/>
            <w:shd w:val="clear" w:color="auto" w:fill="FFFFFF"/>
            <w:hideMark/>
          </w:tcPr>
          <w:p w:rsidR="004F685F" w:rsidRPr="004F685F" w:rsidRDefault="004F685F" w:rsidP="00257C8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Нигер</w:t>
            </w:r>
          </w:p>
        </w:tc>
        <w:tc>
          <w:tcPr>
            <w:tcW w:w="3073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Венесуэла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Гамбия</w:t>
            </w:r>
          </w:p>
        </w:tc>
        <w:tc>
          <w:tcPr>
            <w:tcW w:w="3514" w:type="dxa"/>
            <w:shd w:val="clear" w:color="auto" w:fill="FFFFFF"/>
            <w:hideMark/>
          </w:tcPr>
          <w:p w:rsidR="004F685F" w:rsidRPr="004F685F" w:rsidRDefault="004F685F" w:rsidP="00257C8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Сенегал</w:t>
            </w:r>
          </w:p>
        </w:tc>
        <w:tc>
          <w:tcPr>
            <w:tcW w:w="3073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Колумбия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Гана</w:t>
            </w:r>
          </w:p>
        </w:tc>
        <w:tc>
          <w:tcPr>
            <w:tcW w:w="3514" w:type="dxa"/>
            <w:shd w:val="clear" w:color="auto" w:fill="FFFFFF"/>
            <w:hideMark/>
          </w:tcPr>
          <w:p w:rsidR="004F685F" w:rsidRPr="004F685F" w:rsidRDefault="004F685F" w:rsidP="00257C8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Съера-Леоне</w:t>
            </w:r>
            <w:proofErr w:type="spellEnd"/>
          </w:p>
        </w:tc>
        <w:tc>
          <w:tcPr>
            <w:tcW w:w="3073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Перу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Гвинея</w:t>
            </w:r>
          </w:p>
        </w:tc>
        <w:tc>
          <w:tcPr>
            <w:tcW w:w="3514" w:type="dxa"/>
            <w:shd w:val="clear" w:color="auto" w:fill="FFFFFF"/>
            <w:hideMark/>
          </w:tcPr>
          <w:p w:rsidR="004F685F" w:rsidRPr="004F685F" w:rsidRDefault="004F685F" w:rsidP="00257C8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Судан</w:t>
            </w:r>
          </w:p>
        </w:tc>
        <w:tc>
          <w:tcPr>
            <w:tcW w:w="3073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Панама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Гвинея-Бисау</w:t>
            </w:r>
          </w:p>
        </w:tc>
        <w:tc>
          <w:tcPr>
            <w:tcW w:w="3514" w:type="dxa"/>
            <w:shd w:val="clear" w:color="auto" w:fill="FFFFFF"/>
            <w:hideMark/>
          </w:tcPr>
          <w:p w:rsidR="004F685F" w:rsidRPr="004F685F" w:rsidRDefault="004F685F" w:rsidP="00257C8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Того</w:t>
            </w:r>
          </w:p>
        </w:tc>
        <w:tc>
          <w:tcPr>
            <w:tcW w:w="3073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Парагвай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Габон</w:t>
            </w:r>
          </w:p>
        </w:tc>
        <w:tc>
          <w:tcPr>
            <w:tcW w:w="3514" w:type="dxa"/>
            <w:shd w:val="clear" w:color="auto" w:fill="FFFFFF"/>
            <w:hideMark/>
          </w:tcPr>
          <w:p w:rsidR="004F685F" w:rsidRPr="004F685F" w:rsidRDefault="004F685F" w:rsidP="00257C8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Уганда</w:t>
            </w:r>
          </w:p>
        </w:tc>
        <w:tc>
          <w:tcPr>
            <w:tcW w:w="3073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Суринам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Демократическая </w:t>
            </w:r>
          </w:p>
        </w:tc>
        <w:tc>
          <w:tcPr>
            <w:tcW w:w="3514" w:type="dxa"/>
            <w:shd w:val="clear" w:color="auto" w:fill="FFFFFF"/>
            <w:hideMark/>
          </w:tcPr>
          <w:p w:rsidR="004F685F" w:rsidRPr="004F685F" w:rsidRDefault="004F685F" w:rsidP="00257C8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Центральноафриканская</w:t>
            </w:r>
          </w:p>
        </w:tc>
        <w:tc>
          <w:tcPr>
            <w:tcW w:w="3073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Гайана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Республика Конго</w:t>
            </w:r>
          </w:p>
        </w:tc>
        <w:tc>
          <w:tcPr>
            <w:tcW w:w="3514" w:type="dxa"/>
            <w:shd w:val="clear" w:color="auto" w:fill="FFFFFF"/>
            <w:hideMark/>
          </w:tcPr>
          <w:p w:rsidR="004F685F" w:rsidRPr="004F685F" w:rsidRDefault="004F685F" w:rsidP="00257C8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Республика</w:t>
            </w:r>
          </w:p>
        </w:tc>
        <w:tc>
          <w:tcPr>
            <w:tcW w:w="3073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Гвиана Французская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Камерун</w:t>
            </w:r>
          </w:p>
        </w:tc>
        <w:tc>
          <w:tcPr>
            <w:tcW w:w="3514" w:type="dxa"/>
            <w:shd w:val="clear" w:color="auto" w:fill="FFFFFF"/>
            <w:hideMark/>
          </w:tcPr>
          <w:p w:rsidR="004F685F" w:rsidRPr="004F685F" w:rsidRDefault="004F685F" w:rsidP="00257C8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Чад</w:t>
            </w:r>
          </w:p>
        </w:tc>
        <w:tc>
          <w:tcPr>
            <w:tcW w:w="3073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Эквадор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Кения</w:t>
            </w:r>
          </w:p>
        </w:tc>
        <w:tc>
          <w:tcPr>
            <w:tcW w:w="3514" w:type="dxa"/>
            <w:shd w:val="clear" w:color="auto" w:fill="FFFFFF"/>
            <w:hideMark/>
          </w:tcPr>
          <w:p w:rsidR="004F685F" w:rsidRPr="004F685F" w:rsidRDefault="004F685F" w:rsidP="00257C8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Экваториальная Гвинея</w:t>
            </w:r>
          </w:p>
        </w:tc>
        <w:tc>
          <w:tcPr>
            <w:tcW w:w="3073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Тринидад и Тобаго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Конго</w:t>
            </w:r>
          </w:p>
        </w:tc>
        <w:tc>
          <w:tcPr>
            <w:tcW w:w="3514" w:type="dxa"/>
            <w:shd w:val="clear" w:color="auto" w:fill="FFFFFF"/>
            <w:hideMark/>
          </w:tcPr>
          <w:p w:rsidR="004F685F" w:rsidRPr="004F685F" w:rsidRDefault="004F685F" w:rsidP="00257C80">
            <w:pPr>
              <w:shd w:val="clear" w:color="auto" w:fill="FFFFFF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Южный Судан</w:t>
            </w:r>
          </w:p>
        </w:tc>
        <w:tc>
          <w:tcPr>
            <w:tcW w:w="3073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 </w:t>
            </w:r>
          </w:p>
        </w:tc>
      </w:tr>
      <w:tr w:rsidR="004F685F" w:rsidRPr="004F685F" w:rsidTr="004F685F">
        <w:trPr>
          <w:tblCellSpacing w:w="15" w:type="dxa"/>
        </w:trPr>
        <w:tc>
          <w:tcPr>
            <w:tcW w:w="2567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proofErr w:type="spellStart"/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Кот-д’Ивуар</w:t>
            </w:r>
            <w:proofErr w:type="spellEnd"/>
          </w:p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Либерия</w:t>
            </w:r>
          </w:p>
        </w:tc>
        <w:tc>
          <w:tcPr>
            <w:tcW w:w="3514" w:type="dxa"/>
            <w:shd w:val="clear" w:color="auto" w:fill="FFFFFF"/>
            <w:hideMark/>
          </w:tcPr>
          <w:p w:rsidR="004F685F" w:rsidRPr="004F685F" w:rsidRDefault="004F685F" w:rsidP="00257C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Эфиопия </w:t>
            </w:r>
          </w:p>
        </w:tc>
        <w:tc>
          <w:tcPr>
            <w:tcW w:w="3073" w:type="dxa"/>
            <w:shd w:val="clear" w:color="auto" w:fill="FFFFFF"/>
            <w:vAlign w:val="center"/>
            <w:hideMark/>
          </w:tcPr>
          <w:p w:rsidR="004F685F" w:rsidRPr="004F685F" w:rsidRDefault="004F685F" w:rsidP="004F68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 </w:t>
            </w:r>
          </w:p>
          <w:p w:rsidR="004F685F" w:rsidRPr="004F685F" w:rsidRDefault="004F685F" w:rsidP="004F6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4F685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</w:rPr>
              <w:t> </w:t>
            </w:r>
          </w:p>
        </w:tc>
      </w:tr>
    </w:tbl>
    <w:p w:rsidR="006A6CE4" w:rsidRPr="001C557F" w:rsidRDefault="006A6CE4" w:rsidP="004F685F">
      <w:pPr>
        <w:pStyle w:val="a3"/>
        <w:shd w:val="clear" w:color="auto" w:fill="FFFFFF"/>
        <w:spacing w:before="0" w:beforeAutospacing="0" w:after="0" w:afterAutospacing="0"/>
        <w:jc w:val="both"/>
        <w:rPr>
          <w:iCs/>
        </w:rPr>
      </w:pPr>
    </w:p>
    <w:sectPr w:rsidR="006A6CE4" w:rsidRPr="001C557F" w:rsidSect="006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7F"/>
    <w:multiLevelType w:val="multilevel"/>
    <w:tmpl w:val="062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E3AB8"/>
    <w:multiLevelType w:val="multilevel"/>
    <w:tmpl w:val="E2D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A6CA3"/>
    <w:multiLevelType w:val="multilevel"/>
    <w:tmpl w:val="D11A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10968"/>
    <w:multiLevelType w:val="multilevel"/>
    <w:tmpl w:val="1AF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16EB5"/>
    <w:multiLevelType w:val="multilevel"/>
    <w:tmpl w:val="CFC4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817FBD"/>
    <w:multiLevelType w:val="multilevel"/>
    <w:tmpl w:val="87A0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72F92"/>
    <w:multiLevelType w:val="multilevel"/>
    <w:tmpl w:val="72E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15382C"/>
    <w:multiLevelType w:val="multilevel"/>
    <w:tmpl w:val="660A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022E53"/>
    <w:multiLevelType w:val="multilevel"/>
    <w:tmpl w:val="CFF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22078E"/>
    <w:rsid w:val="000F5709"/>
    <w:rsid w:val="001639E4"/>
    <w:rsid w:val="001C1A71"/>
    <w:rsid w:val="001C557F"/>
    <w:rsid w:val="0022078E"/>
    <w:rsid w:val="00310A5D"/>
    <w:rsid w:val="004F685F"/>
    <w:rsid w:val="00535834"/>
    <w:rsid w:val="006965EF"/>
    <w:rsid w:val="006A6CE4"/>
    <w:rsid w:val="00797C7E"/>
    <w:rsid w:val="007F2D0A"/>
    <w:rsid w:val="007F36CB"/>
    <w:rsid w:val="008B093C"/>
    <w:rsid w:val="0094768C"/>
    <w:rsid w:val="00C22C32"/>
    <w:rsid w:val="00C45FAD"/>
    <w:rsid w:val="00CC046E"/>
    <w:rsid w:val="00D277FA"/>
    <w:rsid w:val="00D85E20"/>
    <w:rsid w:val="00E8694A"/>
    <w:rsid w:val="00F06FAE"/>
    <w:rsid w:val="00FB16B0"/>
    <w:rsid w:val="00FC36F3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4"/>
  </w:style>
  <w:style w:type="paragraph" w:styleId="1">
    <w:name w:val="heading 1"/>
    <w:basedOn w:val="a"/>
    <w:link w:val="10"/>
    <w:uiPriority w:val="9"/>
    <w:qFormat/>
    <w:rsid w:val="00220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5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09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07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45FAD"/>
    <w:rPr>
      <w:b/>
      <w:bCs/>
    </w:rPr>
  </w:style>
  <w:style w:type="character" w:styleId="a6">
    <w:name w:val="Hyperlink"/>
    <w:basedOn w:val="a0"/>
    <w:uiPriority w:val="99"/>
    <w:semiHidden/>
    <w:unhideWhenUsed/>
    <w:rsid w:val="00C45F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FA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B0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B0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B09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B09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09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4F6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www.19crp.by/19-poliklin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2022-06-24T06:22:00Z</dcterms:created>
  <dcterms:modified xsi:type="dcterms:W3CDTF">2024-04-17T13:11:00Z</dcterms:modified>
</cp:coreProperties>
</file>